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077"/>
        <w:gridCol w:w="714"/>
        <w:gridCol w:w="2247"/>
        <w:gridCol w:w="2248"/>
        <w:gridCol w:w="1080"/>
        <w:gridCol w:w="1082"/>
        <w:gridCol w:w="881"/>
      </w:tblGrid>
      <w:tr w:rsidR="00FB618C">
        <w:trPr>
          <w:cantSplit/>
          <w:trHeight w:hRule="exact" w:val="1134"/>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rPr>
                <w:spacing w:val="-2"/>
              </w:rPr>
            </w:pPr>
            <w:r>
              <w:t>通用要求</w:t>
            </w:r>
          </w:p>
        </w:tc>
        <w:tc>
          <w:tcPr>
            <w:tcW w:w="714" w:type="dxa"/>
            <w:vMerge w:val="restart"/>
          </w:tcPr>
          <w:p w:rsidR="00FB618C" w:rsidRDefault="00722624">
            <w:pPr>
              <w:jc w:val="center"/>
            </w:pPr>
            <w:r>
              <w:rPr>
                <w:lang w:bidi="zh-TW"/>
              </w:rPr>
              <w:t>201.4</w:t>
            </w:r>
          </w:p>
        </w:tc>
        <w:tc>
          <w:tcPr>
            <w:tcW w:w="4495" w:type="dxa"/>
            <w:gridSpan w:val="2"/>
          </w:tcPr>
          <w:p w:rsidR="00FB618C" w:rsidRDefault="00722624">
            <w:pPr>
              <w:spacing w:line="280" w:lineRule="exact"/>
            </w:pPr>
            <w:r>
              <w:t xml:space="preserve">201.4.2.3.101 </w:t>
            </w:r>
            <w:r>
              <w:t>风险评估</w:t>
            </w:r>
          </w:p>
          <w:p w:rsidR="00FB618C" w:rsidRDefault="00722624">
            <w:pPr>
              <w:spacing w:line="280" w:lineRule="exact"/>
              <w:ind w:rightChars="-1" w:right="-2"/>
            </w:pPr>
            <w:r>
              <w:t>制造商在其风险分析中应包含高频手术设备和</w:t>
            </w:r>
            <w:r>
              <w:rPr>
                <w:rFonts w:hint="eastAsia"/>
              </w:rPr>
              <w:t>/</w:t>
            </w:r>
            <w:r>
              <w:t>或高频附件在大电流模式下使用的可能性和这会对中性电极下发热的影响</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hRule="exact" w:val="56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pPr>
            <w:r>
              <w:t xml:space="preserve">201.4.3 </w:t>
            </w:r>
            <w:r>
              <w:t>基本性能</w:t>
            </w:r>
          </w:p>
          <w:p w:rsidR="00FB618C" w:rsidRDefault="00722624">
            <w:pPr>
              <w:spacing w:line="280" w:lineRule="exact"/>
            </w:pPr>
            <w:r>
              <w:t>增补：</w:t>
            </w:r>
            <w:r>
              <w:t>201.8.4.101</w:t>
            </w:r>
            <w:r>
              <w:t>的第三个连字符中</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624"/>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ind w:rightChars="-1" w:right="-2"/>
            </w:pPr>
            <w:r>
              <w:t>和</w:t>
            </w:r>
            <w:r>
              <w:t>201.12.4.101</w:t>
            </w:r>
            <w:r>
              <w:t>中所列的要求应被视为基本性能要求。</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141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ind w:rightChars="-1" w:right="-2"/>
            </w:pPr>
            <w:r>
              <w:rPr>
                <w:rFonts w:hint="eastAsia"/>
              </w:rPr>
              <w:t xml:space="preserve">201.4.7.101 </w:t>
            </w:r>
            <w:r>
              <w:rPr>
                <w:rFonts w:hint="eastAsia"/>
              </w:rPr>
              <w:t>特殊的单一故障状态</w:t>
            </w:r>
          </w:p>
          <w:p w:rsidR="00FB618C" w:rsidRDefault="00722624">
            <w:pPr>
              <w:spacing w:line="280" w:lineRule="exact"/>
              <w:ind w:rightChars="-1" w:right="-2"/>
            </w:pPr>
            <w:r>
              <w:t>以下单一故障状态是本文件中特殊要求和测试的项目：</w:t>
            </w:r>
          </w:p>
          <w:p w:rsidR="00FB618C" w:rsidRDefault="00722624">
            <w:pPr>
              <w:spacing w:line="280" w:lineRule="exact"/>
              <w:ind w:rightChars="-1" w:right="-2"/>
            </w:pPr>
            <w:r>
              <w:t>a</w:t>
            </w:r>
            <w:r>
              <w:t>）可能引起不可接受的风险的连续性监测器或接触质量监测器故障（见</w:t>
            </w:r>
            <w:r>
              <w:t>201.8.4.101</w:t>
            </w:r>
            <w:r>
              <w:t>）；</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56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ind w:rightChars="-1" w:right="-2"/>
            </w:pPr>
            <w:r>
              <w:t>b</w:t>
            </w:r>
            <w:r>
              <w:t>）引起过量低频患者漏电流的输出开关线路失效（见</w:t>
            </w:r>
            <w:r>
              <w:t>201.8.10.4.101.1</w:t>
            </w:r>
            <w:r>
              <w:t>）；</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56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ind w:rightChars="-1" w:right="-2"/>
            </w:pPr>
            <w:r>
              <w:t>c</w:t>
            </w:r>
            <w:r>
              <w:t>）引起患者电路非预期激励的任何故障（见</w:t>
            </w:r>
            <w:r>
              <w:t>201.12.4.2.101</w:t>
            </w:r>
            <w:r>
              <w:t>）；</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56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ind w:rightChars="-1" w:right="-2"/>
            </w:pPr>
            <w:r>
              <w:t>d</w:t>
            </w:r>
            <w:r>
              <w:t>）引起输出功率相对于输出设定明显增大的任何故障（见</w:t>
            </w:r>
            <w:r>
              <w:t>201.12.4.4.101</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1417"/>
          <w:jc w:val="center"/>
        </w:trPr>
        <w:tc>
          <w:tcPr>
            <w:tcW w:w="550" w:type="dxa"/>
            <w:vMerge/>
          </w:tcPr>
          <w:p w:rsidR="00FB618C" w:rsidRDefault="00FB618C">
            <w:pPr>
              <w:numPr>
                <w:ilvl w:val="0"/>
                <w:numId w:val="4"/>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pPr>
            <w:r>
              <w:t>201.4.11</w:t>
            </w:r>
            <w:r>
              <w:t>输入功率</w:t>
            </w:r>
            <w:r>
              <w:t xml:space="preserve"> </w:t>
            </w:r>
          </w:p>
          <w:p w:rsidR="00FB618C" w:rsidRDefault="00722624">
            <w:pPr>
              <w:spacing w:line="280" w:lineRule="exact"/>
            </w:pPr>
            <w:r>
              <w:t>替换符合性试验中的第一个破折号：</w:t>
            </w:r>
            <w:r>
              <w:t xml:space="preserve"> </w:t>
            </w:r>
          </w:p>
          <w:p w:rsidR="00FB618C" w:rsidRDefault="00722624">
            <w:pPr>
              <w:spacing w:line="280" w:lineRule="exact"/>
              <w:ind w:rightChars="-1" w:right="-2"/>
            </w:pPr>
            <w:r>
              <w:t>高频手术设备应在输出模式下运行，并用负载使设备产生最大稳态输入电流。测量输入电流，</w:t>
            </w:r>
            <w:r>
              <w:t xml:space="preserve"> </w:t>
            </w:r>
            <w:r>
              <w:t>并与标记和技术说明书的内容进行比较。</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907"/>
          <w:jc w:val="center"/>
        </w:trPr>
        <w:tc>
          <w:tcPr>
            <w:tcW w:w="550" w:type="dxa"/>
          </w:tcPr>
          <w:p w:rsidR="00FB618C" w:rsidRDefault="00FB618C">
            <w:pPr>
              <w:numPr>
                <w:ilvl w:val="0"/>
                <w:numId w:val="4"/>
              </w:numPr>
              <w:adjustRightInd w:val="0"/>
              <w:jc w:val="center"/>
              <w:textAlignment w:val="baseline"/>
            </w:pPr>
          </w:p>
        </w:tc>
        <w:tc>
          <w:tcPr>
            <w:tcW w:w="1077" w:type="dxa"/>
          </w:tcPr>
          <w:p w:rsidR="00FB618C" w:rsidRDefault="00722624">
            <w:pPr>
              <w:ind w:left="1" w:rightChars="-1" w:right="-2" w:hanging="1"/>
            </w:pPr>
            <w:r>
              <w:rPr>
                <w:rFonts w:hint="eastAsia"/>
              </w:rPr>
              <w:t>ME</w:t>
            </w:r>
            <w:r>
              <w:rPr>
                <w:rFonts w:hint="eastAsia"/>
              </w:rPr>
              <w:t>设备试验的通用要求</w:t>
            </w:r>
          </w:p>
        </w:tc>
        <w:tc>
          <w:tcPr>
            <w:tcW w:w="714" w:type="dxa"/>
          </w:tcPr>
          <w:p w:rsidR="00FB618C" w:rsidRDefault="00722624">
            <w:pPr>
              <w:jc w:val="center"/>
            </w:pPr>
            <w:r>
              <w:rPr>
                <w:rFonts w:hint="eastAsia"/>
              </w:rPr>
              <w:t>201.5</w:t>
            </w:r>
          </w:p>
        </w:tc>
        <w:tc>
          <w:tcPr>
            <w:tcW w:w="4495" w:type="dxa"/>
            <w:gridSpan w:val="2"/>
          </w:tcPr>
          <w:p w:rsidR="00FB618C" w:rsidRDefault="00722624">
            <w:pPr>
              <w:spacing w:line="280" w:lineRule="exact"/>
              <w:ind w:rightChars="-1" w:right="-2"/>
            </w:pPr>
            <w:r>
              <w:rPr>
                <w:rFonts w:hint="eastAsia"/>
              </w:rPr>
              <w:t>201.5.4</w:t>
            </w:r>
            <w:r>
              <w:rPr>
                <w:rFonts w:hint="eastAsia"/>
              </w:rPr>
              <w:t>其他条件</w:t>
            </w:r>
          </w:p>
          <w:p w:rsidR="00FB618C" w:rsidRDefault="00722624">
            <w:pPr>
              <w:spacing w:line="280" w:lineRule="exact"/>
              <w:ind w:rightChars="-1" w:right="-2"/>
            </w:pPr>
            <w:r>
              <w:rPr>
                <w:rFonts w:hint="eastAsia"/>
              </w:rPr>
              <w:t>增补：</w:t>
            </w:r>
            <w:proofErr w:type="spellStart"/>
            <w:r>
              <w:rPr>
                <w:rFonts w:hint="eastAsia"/>
              </w:rPr>
              <w:t>aa</w:t>
            </w:r>
            <w:proofErr w:type="spellEnd"/>
            <w:r>
              <w:rPr>
                <w:rFonts w:hint="eastAsia"/>
              </w:rPr>
              <w:t>）在测量高频输出时应特别注意保证精度和安全，其指南见附录</w:t>
            </w:r>
            <w:r>
              <w:rPr>
                <w:rFonts w:hint="eastAsia"/>
              </w:rPr>
              <w:t>AA</w:t>
            </w:r>
            <w:r>
              <w:rPr>
                <w:rFonts w:hint="eastAsia"/>
              </w:rPr>
              <w:t>。</w:t>
            </w:r>
          </w:p>
        </w:tc>
        <w:tc>
          <w:tcPr>
            <w:tcW w:w="1080" w:type="dxa"/>
            <w:vAlign w:val="center"/>
          </w:tcPr>
          <w:p w:rsidR="00FB618C" w:rsidRDefault="00FB618C">
            <w:pPr>
              <w:ind w:leftChars="-51" w:left="-107" w:rightChars="-51" w:right="-107"/>
              <w:jc w:val="center"/>
            </w:pPr>
          </w:p>
        </w:tc>
        <w:tc>
          <w:tcPr>
            <w:tcW w:w="1082" w:type="dxa"/>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680"/>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pPr>
              <w:spacing w:line="280" w:lineRule="exact"/>
              <w:ind w:rightChars="-1" w:right="-2"/>
            </w:pPr>
            <w:r>
              <w:t xml:space="preserve">201.7.2.8.2 </w:t>
            </w:r>
            <w:r>
              <w:t>其他电源</w:t>
            </w:r>
            <w:r>
              <w:t xml:space="preserve"> </w:t>
            </w:r>
            <w:r>
              <w:t>修改：</w:t>
            </w:r>
            <w:r>
              <w:t xml:space="preserve"> </w:t>
            </w:r>
            <w:r>
              <w:t>通用标准中</w:t>
            </w:r>
            <w:r>
              <w:t>7.2.8.2</w:t>
            </w:r>
            <w:r>
              <w:t>不适用于手术输出端子或中性电极端子。</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hRule="exact" w:val="964"/>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80" w:lineRule="exact"/>
            </w:pPr>
            <w:r>
              <w:t xml:space="preserve">201.7.2.10 </w:t>
            </w:r>
            <w:r>
              <w:t>应用部分</w:t>
            </w:r>
          </w:p>
          <w:p w:rsidR="00FB618C" w:rsidRDefault="00722624">
            <w:pPr>
              <w:spacing w:line="280" w:lineRule="exact"/>
            </w:pPr>
            <w:r>
              <w:t>增补：</w:t>
            </w:r>
            <w:r>
              <w:t xml:space="preserve"> </w:t>
            </w:r>
            <w:r>
              <w:t>防除</w:t>
            </w:r>
            <w:proofErr w:type="gramStart"/>
            <w:r>
              <w:t>颤</w:t>
            </w:r>
            <w:proofErr w:type="gramEnd"/>
            <w:r>
              <w:t>应用部分标识要求的相关符号应附加到前面板上，不要求加到应用部分。</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124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r>
              <w:t>高频手术设备和附属设备上连接中性电极引线的连接（点）处应标明图</w:t>
            </w:r>
            <w:r>
              <w:t>201.101</w:t>
            </w:r>
            <w:r>
              <w:t>和图</w:t>
            </w:r>
            <w:r>
              <w:t>201.102</w:t>
            </w:r>
            <w:r>
              <w:t>中给出的符号：</w:t>
            </w:r>
            <w:r>
              <w:rPr>
                <w:noProof/>
              </w:rPr>
              <w:drawing>
                <wp:inline distT="0" distB="0" distL="114300" distR="114300">
                  <wp:extent cx="415290" cy="382905"/>
                  <wp:effectExtent l="0" t="0" r="5715"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15290" cy="382905"/>
                          </a:xfrm>
                          <a:prstGeom prst="rect">
                            <a:avLst/>
                          </a:prstGeom>
                          <a:noFill/>
                          <a:ln>
                            <a:noFill/>
                          </a:ln>
                        </pic:spPr>
                      </pic:pic>
                    </a:graphicData>
                  </a:graphic>
                </wp:inline>
              </w:drawing>
            </w:r>
          </w:p>
          <w:p w:rsidR="00FB618C" w:rsidRDefault="00722624">
            <w:pPr>
              <w:spacing w:line="280" w:lineRule="exact"/>
            </w:pPr>
            <w:r>
              <w:t>图</w:t>
            </w:r>
            <w:r>
              <w:t>201.101</w:t>
            </w:r>
            <w:r>
              <w:t>用于以地为基准的患者电路的符号</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jc w:val="center"/>
            </w:pPr>
            <w:r>
              <w:rPr>
                <w:noProof/>
              </w:rPr>
              <w:drawing>
                <wp:inline distT="0" distB="0" distL="114300" distR="114300">
                  <wp:extent cx="384175" cy="384175"/>
                  <wp:effectExtent l="0" t="0" r="15875" b="1587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384175" cy="384175"/>
                          </a:xfrm>
                          <a:prstGeom prst="rect">
                            <a:avLst/>
                          </a:prstGeom>
                          <a:noFill/>
                          <a:ln>
                            <a:noFill/>
                          </a:ln>
                        </pic:spPr>
                      </pic:pic>
                    </a:graphicData>
                  </a:graphic>
                </wp:inline>
              </w:drawing>
            </w:r>
          </w:p>
          <w:p w:rsidR="00FB618C" w:rsidRDefault="00722624">
            <w:pPr>
              <w:spacing w:line="280" w:lineRule="exact"/>
              <w:ind w:rightChars="-1" w:right="-2"/>
            </w:pPr>
            <w:r>
              <w:t>图</w:t>
            </w:r>
            <w:r>
              <w:t xml:space="preserve">201.102 </w:t>
            </w:r>
            <w:r>
              <w:t>用于高频绝缘的患者电路的符号</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r>
              <w:t>201.7.2.10.101</w:t>
            </w:r>
            <w:r>
              <w:t>高频附件</w:t>
            </w:r>
          </w:p>
          <w:p w:rsidR="00FB618C" w:rsidRDefault="00722624">
            <w:r>
              <w:t>高频附件（高频附属设备除外）不应要求在附件本身、随机文件或包装上显示</w:t>
            </w:r>
            <w:r>
              <w:t>BF</w:t>
            </w:r>
            <w:r>
              <w:t>型或</w:t>
            </w:r>
            <w:r>
              <w:t>CF</w:t>
            </w:r>
            <w:r>
              <w:t>型标记，</w:t>
            </w:r>
          </w:p>
          <w:p w:rsidR="00FB618C" w:rsidRDefault="00722624">
            <w:pPr>
              <w:ind w:rightChars="-1" w:right="-2"/>
            </w:pPr>
            <w:r>
              <w:t>除非风险管理文档识别不可接受的风险与此排除相关。</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r>
              <w:t xml:space="preserve">201.7.4.2 </w:t>
            </w:r>
            <w:r>
              <w:t>控制装置</w:t>
            </w:r>
          </w:p>
          <w:p w:rsidR="00FB618C" w:rsidRDefault="00722624">
            <w:pPr>
              <w:autoSpaceDE w:val="0"/>
              <w:autoSpaceDN w:val="0"/>
              <w:jc w:val="left"/>
            </w:pPr>
            <w:r>
              <w:t>增补：</w:t>
            </w:r>
          </w:p>
          <w:p w:rsidR="00FB618C" w:rsidRDefault="00722624">
            <w:pPr>
              <w:ind w:rightChars="-1" w:right="-2"/>
            </w:pPr>
            <w:r>
              <w:t>输出控制器应具有刻度和</w:t>
            </w:r>
            <w:r>
              <w:t>/</w:t>
            </w:r>
            <w:r>
              <w:t>或合适的指示器，用来表示高频输出的相对强度。指示器</w:t>
            </w:r>
            <w:proofErr w:type="gramStart"/>
            <w:r>
              <w:t>不</w:t>
            </w:r>
            <w:proofErr w:type="gramEnd"/>
            <w:r>
              <w:t>应标有</w:t>
            </w:r>
            <w:r>
              <w:t>“</w:t>
            </w:r>
            <w:r>
              <w:t>瓦（</w:t>
            </w:r>
            <w:r>
              <w:t>W</w:t>
            </w:r>
            <w:r>
              <w:t>）</w:t>
            </w:r>
            <w:r>
              <w:t>”</w:t>
            </w:r>
            <w:r>
              <w:t>，除非在</w:t>
            </w:r>
            <w:r>
              <w:t>201.7.9.3.1</w:t>
            </w:r>
            <w:r>
              <w:t>中规定的整个负载电阻范围内，指示功率的精度偏差在</w:t>
            </w:r>
            <w:r>
              <w:t>±20%</w:t>
            </w:r>
            <w:r>
              <w:t>以内。</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不应使用数字</w:t>
            </w:r>
            <w:r>
              <w:t>“0”</w:t>
            </w:r>
            <w:r>
              <w:t>，除非在这个位置时手术电极或双</w:t>
            </w:r>
            <w:proofErr w:type="gramStart"/>
            <w:r>
              <w:t>极</w:t>
            </w:r>
            <w:proofErr w:type="gramEnd"/>
            <w:r>
              <w:t>附件释放的功率不超过</w:t>
            </w:r>
            <w:r>
              <w:t>10mW</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r>
              <w:t xml:space="preserve">201.7.8.1 </w:t>
            </w:r>
            <w:r>
              <w:t>指示灯颜色</w:t>
            </w:r>
          </w:p>
          <w:p w:rsidR="00FB618C" w:rsidRDefault="00722624">
            <w:pPr>
              <w:ind w:rightChars="-1" w:right="-2"/>
            </w:pPr>
            <w:r>
              <w:t>将通用标准中的表</w:t>
            </w:r>
            <w:r>
              <w:t>2</w:t>
            </w:r>
            <w:r>
              <w:t>替换为表</w:t>
            </w:r>
            <w:r>
              <w:t>201.101</w:t>
            </w:r>
          </w:p>
        </w:tc>
        <w:tc>
          <w:tcPr>
            <w:tcW w:w="1080" w:type="dxa"/>
            <w:vMerge w:val="restart"/>
            <w:tcBorders>
              <w:tr2bl w:val="single" w:sz="4" w:space="0" w:color="auto"/>
            </w:tcBorders>
            <w:vAlign w:val="center"/>
          </w:tcPr>
          <w:p w:rsidR="00FB618C" w:rsidRDefault="00FB618C">
            <w:pPr>
              <w:ind w:leftChars="-51" w:left="-107" w:rightChars="-51" w:right="-107"/>
              <w:jc w:val="center"/>
            </w:pPr>
            <w:bookmarkStart w:id="0" w:name="_GoBack"/>
            <w:bookmarkEnd w:id="0"/>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颜色</w:t>
            </w:r>
          </w:p>
        </w:tc>
        <w:tc>
          <w:tcPr>
            <w:tcW w:w="2248" w:type="dxa"/>
          </w:tcPr>
          <w:p w:rsidR="00FB618C" w:rsidRDefault="00722624">
            <w:pPr>
              <w:ind w:rightChars="-1" w:right="-2"/>
            </w:pPr>
            <w:r>
              <w:t>定义</w:t>
            </w:r>
          </w:p>
        </w:tc>
        <w:tc>
          <w:tcPr>
            <w:tcW w:w="1080" w:type="dxa"/>
            <w:vMerge/>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红色</w:t>
            </w:r>
          </w:p>
        </w:tc>
        <w:tc>
          <w:tcPr>
            <w:tcW w:w="2248" w:type="dxa"/>
          </w:tcPr>
          <w:p w:rsidR="00FB618C" w:rsidRDefault="00722624">
            <w:pPr>
              <w:ind w:rightChars="-1" w:right="-2"/>
            </w:pPr>
            <w:r>
              <w:t>警告</w:t>
            </w:r>
            <w:r>
              <w:t>——</w:t>
            </w:r>
            <w:r>
              <w:t>操作者需要立即响应，例如，患者电路故障</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黄色</w:t>
            </w:r>
          </w:p>
        </w:tc>
        <w:tc>
          <w:tcPr>
            <w:tcW w:w="2248" w:type="dxa"/>
          </w:tcPr>
          <w:p w:rsidR="00FB618C" w:rsidRDefault="00722624">
            <w:pPr>
              <w:ind w:rightChars="-1" w:right="-2"/>
            </w:pPr>
            <w:proofErr w:type="gramStart"/>
            <w:r>
              <w:t>切模式</w:t>
            </w:r>
            <w:proofErr w:type="gramEnd"/>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蓝色</w:t>
            </w:r>
          </w:p>
        </w:tc>
        <w:tc>
          <w:tcPr>
            <w:tcW w:w="2248" w:type="dxa"/>
          </w:tcPr>
          <w:p w:rsidR="00FB618C" w:rsidRDefault="00722624">
            <w:pPr>
              <w:ind w:rightChars="-1" w:right="-2"/>
            </w:pPr>
            <w:proofErr w:type="gramStart"/>
            <w:r>
              <w:t>凝模式</w:t>
            </w:r>
            <w:proofErr w:type="gramEnd"/>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绿色</w:t>
            </w:r>
          </w:p>
        </w:tc>
        <w:tc>
          <w:tcPr>
            <w:tcW w:w="2248" w:type="dxa"/>
          </w:tcPr>
          <w:p w:rsidR="00FB618C" w:rsidRDefault="00722624">
            <w:pPr>
              <w:ind w:rightChars="-1" w:right="-2"/>
            </w:pPr>
            <w:r>
              <w:t>准备使用</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2247" w:type="dxa"/>
          </w:tcPr>
          <w:p w:rsidR="00FB618C" w:rsidRDefault="00722624">
            <w:pPr>
              <w:ind w:rightChars="-1" w:right="-2"/>
            </w:pPr>
            <w:r>
              <w:t>任何其他颜色</w:t>
            </w:r>
          </w:p>
        </w:tc>
        <w:tc>
          <w:tcPr>
            <w:tcW w:w="2248" w:type="dxa"/>
          </w:tcPr>
          <w:p w:rsidR="00FB618C" w:rsidRDefault="00722624">
            <w:pPr>
              <w:ind w:rightChars="-1" w:right="-2"/>
            </w:pPr>
            <w:r>
              <w:t>除了红色、黄色、蓝色或绿色以外的含义</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r>
              <w:t xml:space="preserve">201.7.8.2 </w:t>
            </w:r>
            <w:r>
              <w:t>控制器颜色</w:t>
            </w:r>
          </w:p>
          <w:p w:rsidR="00FB618C" w:rsidRDefault="00722624">
            <w:pPr>
              <w:ind w:rightChars="-1" w:right="-2"/>
            </w:pPr>
            <w:r>
              <w:t>与专用的高频手术模式相关的操作控制器、输出端口、指示灯、踏板（见</w:t>
            </w:r>
            <w:r>
              <w:t>201.12.2</w:t>
            </w:r>
            <w:r>
              <w:t>）和指揿开关按钮（见</w:t>
            </w:r>
            <w:r>
              <w:t>201.12.2</w:t>
            </w:r>
            <w:r>
              <w:t>）应以与表</w:t>
            </w:r>
            <w:r>
              <w:t>201.101</w:t>
            </w:r>
            <w:r>
              <w:t>不冲突、一致的、唯一的颜色加以识别。</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r>
              <w:t xml:space="preserve">201.7.9.2.2 </w:t>
            </w:r>
            <w:r>
              <w:t>警告和安全须知</w:t>
            </w:r>
          </w:p>
          <w:p w:rsidR="00FB618C" w:rsidRDefault="00722624">
            <w:r>
              <w:t>增补条款：</w:t>
            </w:r>
          </w:p>
          <w:p w:rsidR="00FB618C" w:rsidRDefault="00722624">
            <w:r>
              <w:t xml:space="preserve">201.7.9.2.2.101 </w:t>
            </w:r>
            <w:r>
              <w:t>使用说明书的附加信息</w:t>
            </w:r>
          </w:p>
          <w:p w:rsidR="00FB618C" w:rsidRDefault="00722624">
            <w:pPr>
              <w:autoSpaceDE w:val="0"/>
              <w:autoSpaceDN w:val="0"/>
              <w:jc w:val="left"/>
            </w:pPr>
            <w:r>
              <w:t>附加信息如下：</w:t>
            </w:r>
          </w:p>
          <w:p w:rsidR="00FB618C" w:rsidRDefault="00722624">
            <w:pPr>
              <w:autoSpaceDE w:val="0"/>
              <w:autoSpaceDN w:val="0"/>
              <w:jc w:val="left"/>
            </w:pPr>
            <w:r>
              <w:t>a</w:t>
            </w:r>
            <w:r>
              <w:t>）使用高频手术设备的注意事项。这些事项应引起操作者对某些预防措施的注意，这些预防措施对于减少意外灼伤风险是必要的。如果适用，应特别给出以下忠告：</w:t>
            </w:r>
          </w:p>
          <w:p w:rsidR="00FB618C" w:rsidRDefault="00722624">
            <w:pPr>
              <w:ind w:rightChars="-1" w:right="-2"/>
            </w:pPr>
            <w:r>
              <w:t>1</w:t>
            </w:r>
            <w:r>
              <w:t>）中性电极整个面积宜可靠贴合到由制造商定义的经适当准备的患者身体合适区域。</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2</w:t>
            </w:r>
            <w:r>
              <w:t>）患者不宜接触接地的或对地具有可观电容的金属物（如：手术台支架等）。</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3</w:t>
            </w:r>
            <w:r>
              <w:t>）要防止皮肤对皮肤（如患者肢体之间）的接触，譬如插入干纱布。</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4</w:t>
            </w:r>
            <w:r>
              <w:t>）在同一患者身上同时使用高频手术设备和生理监护设备时，任何监护电极宜尽可能远离高频电极，不宜使用针状监护电极。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在所有情况下，宜使用带有高频电流限制装置的监护系统。</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5</w:t>
            </w:r>
            <w:r>
              <w:t>）放置患者导联时要防止其与患者或其他引线相接触。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暂时不用的手术电极要存放于与患者隔离的地方。</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6</w:t>
            </w:r>
            <w:r>
              <w:t>）对于高频电流可能流经人体较小横截面积部分的外科手术，最好使用双</w:t>
            </w:r>
            <w:proofErr w:type="gramStart"/>
            <w:r>
              <w:t>极</w:t>
            </w:r>
            <w:proofErr w:type="gramEnd"/>
            <w:r>
              <w:t>技术，可防止非预期的组织损伤。</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7</w:t>
            </w:r>
            <w:r>
              <w:t>）对于预期效果，要选择尽可能低的输出功率。某些装置或附件在低功率设定下可出现不可接受的风险。例如：在使用</w:t>
            </w:r>
            <w:proofErr w:type="gramStart"/>
            <w:r>
              <w:t>氩气束凝时</w:t>
            </w:r>
            <w:proofErr w:type="gramEnd"/>
            <w:r>
              <w:t>，如果高频功率不足以使目标组织上产生一个快速封闭的痂面，则气</w:t>
            </w:r>
            <w:proofErr w:type="gramStart"/>
            <w:r>
              <w:t>栓</w:t>
            </w:r>
            <w:proofErr w:type="gramEnd"/>
            <w:r>
              <w:t>风险就可能出现。</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8</w:t>
            </w:r>
            <w:r>
              <w:t>）对于在正常操作设定下正确运行的高频手术设备，当出现输出降低或中断时，可表示中性电极不正确应用或连接器接触不良。因此，在选择更高输出功率之前，要检查中性电极及其连接器的应用情况。</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pPr>
              <w:autoSpaceDE w:val="0"/>
              <w:autoSpaceDN w:val="0"/>
              <w:jc w:val="left"/>
            </w:pPr>
            <w:r>
              <w:t>9</w:t>
            </w:r>
            <w:r>
              <w:t>）如果在胸部或头部范围进行电外科手术，要防止使用可燃性麻醉剂和氧化性气体，如笑气（</w:t>
            </w:r>
            <w:r>
              <w:t>N</w:t>
            </w:r>
            <w:r>
              <w:rPr>
                <w:vertAlign w:val="subscript"/>
              </w:rPr>
              <w:t>2</w:t>
            </w:r>
            <w:r>
              <w:t>O</w:t>
            </w:r>
            <w:r>
              <w:t>）和氧气，除非（手术前）将这些试剂吸除。</w:t>
            </w:r>
          </w:p>
          <w:p w:rsidR="00FB618C" w:rsidRDefault="00722624">
            <w:pPr>
              <w:autoSpaceDE w:val="0"/>
              <w:autoSpaceDN w:val="0"/>
              <w:jc w:val="left"/>
            </w:pPr>
            <w:r>
              <w:t>如有可能，宜使用不可燃试剂来清洗和消毒。</w:t>
            </w:r>
          </w:p>
          <w:p w:rsidR="00FB618C" w:rsidRDefault="00722624">
            <w:pPr>
              <w:ind w:rightChars="-1" w:right="-2"/>
            </w:pPr>
            <w:r>
              <w:t>宜用可燃性试剂来清洗和消毒或用作为粘接剂的溶剂，但在高频手术进行之前要蒸发掉这些试剂。患者身体或凹槽如脐眼以及腔孔（如阴道）存在积聚可燃性试剂风险。在使用高频手术设备之前，宜将任何积聚的液体擦除干净。（还）要注意体内气体点燃危险。某些材料如棉花、毛料和纱布，</w:t>
            </w:r>
            <w:proofErr w:type="gramStart"/>
            <w:r>
              <w:t>当充满</w:t>
            </w:r>
            <w:proofErr w:type="gramEnd"/>
            <w:r>
              <w:t>氧气时，可被高频手术设备正常使用时产生的火花所点燃。</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10</w:t>
            </w:r>
            <w:r>
              <w:t>）对于携带电气导电植入物的患者，由于高频电流的集中或重新定向，存在可能的危险。如有疑问，要给出有效的建议。</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11</w:t>
            </w:r>
            <w:r>
              <w:t>）对于具有</w:t>
            </w:r>
            <w:r>
              <w:t>201.12.2 c</w:t>
            </w:r>
            <w:r>
              <w:t>）</w:t>
            </w:r>
            <w:r>
              <w:t>2</w:t>
            </w:r>
            <w:r>
              <w:t>）所述工作模式的高频手术设备，应给出相互影响的警告：来自另一个手术电极的输出在使用中可能改变。</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警告：高频手术设备运行时产生的干扰可能对其他电子设备的运行有不利影响。对于携带心脏起搏器或其他有源植入物的患者，可能存在危险，因为可能会产生对有源植入物工作的干扰，或者损坏有源植入物。如有疑问，要给出有效的建议。</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c)</w:t>
            </w:r>
            <w:r>
              <w:t>对于高频手术设备，每一种高频手术模式的最大输出电压和关于额定附件电压的说明如下：</w:t>
            </w:r>
          </w:p>
          <w:p w:rsidR="00FB618C" w:rsidRDefault="00722624">
            <w:pPr>
              <w:ind w:rightChars="-1" w:right="-2"/>
            </w:pPr>
            <w:r>
              <w:t>1)</w:t>
            </w:r>
            <w:r>
              <w:t>在最大输出电压（</w:t>
            </w:r>
            <w:proofErr w:type="spellStart"/>
            <w:r>
              <w:t>U</w:t>
            </w:r>
            <w:r>
              <w:rPr>
                <w:vertAlign w:val="subscript"/>
              </w:rPr>
              <w:t>max</w:t>
            </w:r>
            <w:proofErr w:type="spellEnd"/>
            <w:r>
              <w:t>）</w:t>
            </w:r>
            <w:r>
              <w:t>≤1600V</w:t>
            </w:r>
            <w:r>
              <w:t>情况下，应给出说明，附属设备和手术附件宜选用的额定附件电压</w:t>
            </w:r>
            <w:r>
              <w:t>≥</w:t>
            </w:r>
            <w:r>
              <w:t>最大输出电压。</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w:t>
            </w:r>
            <w:r>
              <w:t>在最大输出电压（</w:t>
            </w:r>
            <w:proofErr w:type="spellStart"/>
            <w:r>
              <w:t>U</w:t>
            </w:r>
            <w:r>
              <w:rPr>
                <w:vertAlign w:val="subscript"/>
              </w:rPr>
              <w:t>max</w:t>
            </w:r>
            <w:proofErr w:type="spellEnd"/>
            <w:r>
              <w:t>）＞</w:t>
            </w:r>
            <w:r>
              <w:t>1600V</w:t>
            </w:r>
            <w:r>
              <w:t>情况下，用公式计算变量</w:t>
            </w:r>
            <w:r>
              <w:t>y:</w:t>
            </w:r>
          </w:p>
          <w:p w:rsidR="00FB618C" w:rsidRDefault="00722624">
            <w:pPr>
              <w:autoSpaceDE w:val="0"/>
              <w:autoSpaceDN w:val="0"/>
              <w:jc w:val="left"/>
            </w:pPr>
            <w:r>
              <w:fldChar w:fldCharType="begin"/>
            </w:r>
            <w:r>
              <w:instrText xml:space="preserve"> QUOTE </w:instrText>
            </w: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420&quot;/&gt;&lt;w:doNotHyphenateCaps/&gt;&lt;w:drawingGridHorizontalSpacing w:val=&quot;105&quot;/&gt;&lt;w:drawingGridVerticalSpacing w:val=&quot;156&quot;/&gt;&lt;w:characterSpacingControl w:val=&quot;CompressPunctuation&quot;/&gt;&lt;w:noLineBreaksAfter w:lang=&quot;ZH-CN&quot; w:val=&quot;$([{￡￥·‘“〈《「『【〔〖〝﹙﹛﹝＄（．［｛￡￥&quot;/&gt;&lt;w:noLineBreaksBefore w:lang=&quot;ZH-CN&quot; w:val=&quot;!%),.:;&amp;gt;?]}￠¨°·ˇˉ―‖’”…‰′″?℃∶、。〃〉》」』】〕〗〞︶︺︾﹀﹄﹚﹜﹞！＂％＇），．：；？］｀｜｝～￠&quot;/&gt;&lt;w:validateAgainstaracterSpacingControl w:val=&quot;CompressPunctuation&quot;/&gt;&lt;w:noLineBreaksAfter w: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6513C&quot;/&gt;&lt;wsp:rsid wsp:val=&quot;FF8D780E&quot;/&gt;&lt;wsp:rsid wsp:val=&quot;00004A85&quot;/&gt;&lt;wsp:rsid wsp:val=&quot;00007E33&quot;/&gt;&lt;wsp:rsid wsp:val=&quot;00013079&quot;/&gt;&lt;wsp:rsid wsp:val=&quot;00031BAA&quot;/&gt;&lt;wsp:rsid wsp:val=&quot;0003677C&quot;/&gt;&lt;wsp:rsid wsp:val=&quot;000402DE&quot;/&gt;&lt;wsp:rsid wsp:val=&quot;00041D19&quot;/&gt;&lt;wsp:rsid wsp:val=&quot;00051005&quot;/&gt;&lt;wsp:rsid wsp:val=&quot;00061EC5&quot;/&gt;&lt;wsp:rsid wsp:val=&quot;00064BE5&quot;/&gt;&lt;wsp:rsid wsp:val=&quot;00084C3E&quot;/&gt;&lt;wsp:rsid wsp:val=&quot;000909D1&quot;/&gt;&lt;wsp:rsid wsp:val=&quot;00091F52&quot;/&gt;&lt;wsp:rsid wsp:val=&quot;00094597&quot;/&gt;&lt;wsp:rsid wsp:val=&quot;00097976&quot;/&gt;&lt;wsp:rsid wsp:val=&quot;000A0D37&quot;/&gt;&lt;wsp:rsid wsp:val=&quot;000A2603&quot;/&gt;&lt;wsp:rsid wsp:val=&quot;000B2328&quot;/&gt;&lt;wsp:rsid wsp:val=&quot;000B510E&quot;/&gt;&lt;wsp:rsid wsp:val=&quot;000C06B7&quot;/&gt;&lt;wsp:rsid wsp:val=&quot;000C2566&quot;/&gt;&lt;wsp:rsid wsp:val=&quot;000D4C70&quot;/&gt;&lt;wsp:rsid wsp:val=&quot;000D54EF&quot;/&gt;&lt;wsp:rsid wsp:val=&quot;000F3FBA&quot;/&gt;&lt;wsp:rsid wsp:val=&quot;000F4268&quot;/&gt;&lt;wsp:rsid wsp:val=&quot;00101CD5&quot;/&gt;&lt;wsp:rsid wsp:val=&quot;00103F0A&quot;/&gt;&lt;wsp:rsid wsp:val=&quot;001043AB&quot;/&gt;&lt;wsp:rsid wsp:val=&quot;0011008C&quot;/&gt;&lt;wsp:rsid wsp:val=&quot;00114E60&quot;/&gt;&lt;wsp:rsid wsp:val=&quot;0011575D&quot;/&gt;&lt;wsp:rsid wsp:val=&quot;00115D80&quot;/&gt;&lt;wsp:rsid wsp:val=&quot;001214B7&quot;/&gt;&lt;wsp:rsid wsp:val=&quot;0012281B&quot;/&gt;&lt;wsp:rsid wsp:val=&quot;00124992&quot;/&gt;&lt;wsp:rsid wsp:val=&quot;00125784&quot;/&gt;&lt;wsp:rsid wsp:val=&quot;00126593&quot;/&gt;&lt;wsp:rsid wsp:val=&quot;001323BE&quot;/&gt;&lt;wsp:rsid wsp:val=&quot;00134253&quot;/&gt;&lt;wsp:rsid wsp:val=&quot;00134A42&quot;/&gt;&lt;wsp:rsid wsp:val=&quot;00135714&quot;/&gt;&lt;wsp:rsid wsp:val=&quot;00152759&quot;/&gt;&lt;wsp:rsid wsp:val=&quot;00157EEB&quot;/&gt;&lt;wsp:rsid wsp:val=&quot;001616BA&quot;/&gt;&lt;wsp:rsid wsp:val=&quot;001631A3&quot;/&gt;&lt;wsp:rsid wsp:val=&quot;0016513C&quot;/&gt;&lt;wsp:rsid wsp:val=&quot;00176727&quot;/&gt;&lt;wsp:rsid wsp:val=&quot;001826E5&quot;/&gt;&lt;wsp:rsid wsp:val=&quot;00184266&quot;/&gt;&lt;wsp:rsid wsp:val=&quot;00185752&quot;/&gt;&lt;wsp:rsid wsp:val=&quot;001904D4&quot;/&gt;&lt;wsp:rsid wsp:val=&quot;001913CD&quot;/&gt;&lt;wsp:rsid wsp:val=&quot;00192294&quot;/&gt;&lt;wsp:rsid wsp:val=&quot;00197EFE&quot;/&gt;&lt;wsp:rsid wsp:val=&quot;001B0CFF&quot;/&gt;&lt;wsp:rsid wsp:val=&quot;001B19B7&quot;/&gt;&lt;wsp:rsid wsp:val=&quot;001B4779&quot;/&gt;&lt;wsp:rsid wsp:val=&quot;001B565F&quot;/&gt;&lt;wsp:rsid wsp:val=&quot;001B7F06&quot;/&gt;&lt;wsp:rsid wsp:val=&quot;001C170B&quot;/&gt;&lt;wsp:rsid wsp:val=&quot;001C1BA2&quot;/&gt;&lt;wsp:rsid wsp:val=&quot;001C4244&quot;/&gt;&lt;wsp:rsid wsp:val=&quot;001D7486&quot;/&gt;&lt;wsp:rsid wsp:val=&quot;001E4549&quot;/&gt;&lt;wsp:rsid wsp:val=&quot;001F10ED&quot;/&gt;&lt;wsp:rsid wsp:val=&quot;001F29B9&quot;/&gt;&lt;wsp:rsid wsp:val=&quot;001F2B68&quot;/&gt;&lt;wsp:rsid wsp:val=&quot;001F6529&quot;/&gt;&lt;wsp:rsid wsp:val=&quot;00200A33&quot;/&gt;&lt;wsp:rsid wsp:val=&quot;0020249C&quot;/&gt;&lt;wsp:rsid wsp:val=&quot;00202EDB&quot;/&gt;&lt;wsp:rsid wsp:val=&quot;00213076&quot;/&gt;&lt;wsp:rsid wsp:val=&quot;0021369D&quot;/&gt;&lt;wsp:rsid wsp:val=&quot;00222F35&quot;/&gt;&lt;wsp:rsid wsp:val=&quot;00234FC8&quot;/&gt;&lt;wsp:rsid wsp:val=&quot;00235C70&quot;/&gt;&lt;wsp:rsid wsp:val=&quot;00240F29&quot;/&gt;&lt;wsp:rsid wsp:val=&quot;00246CF6&quot;/&gt;&lt;wsp:rsid wsp:val=&quot;002511CE&quot;/&gt;&lt;wsp:rsid wsp:val=&quot;002536B5&quot;/&gt;&lt;wsp:rsid wsp:val=&quot;00254E49&quot;/&gt;&lt;wsp:rsid wsp:val=&quot;00256C30&quot;/&gt;&lt;wsp:rsid wsp:val=&quot;00272D75&quot;/&gt;&lt;wsp:rsid wsp:val=&quot;00276BD3&quot;/&gt;&lt;wsp:rsid wsp:val=&quot;00277078&quot;/&gt;&lt;wsp:rsid wsp:val=&quot;002800F6&quot;/&gt;&lt;wsp:rsid wsp:val=&quot;002940C2&quot;/&gt;&lt;wsp:rsid wsp:val=&quot;00294C2E&quot;/&gt;&lt;wsp:rsid wsp:val=&quot;002A3D30&quot;/&gt;&lt;wsp:rsid wsp:val=&quot;002A6D05&quot;/&gt;&lt;wsp:rsid wsp:val=&quot;002B1862&quot;/&gt;&lt;wsp:rsid wsp:val=&quot;002B23D0&quot;/&gt;&lt;wsp:rsid wsp:val=&quot;002B635C&quot;/&gt;&lt;wsp:rsid wsp:val=&quot;002C37F8&quot;/&gt;&lt;wsp:rsid wsp:val=&quot;002C5034&quot;/&gt;&lt;wsp:rsid wsp:val=&quot;002D59C5&quot;/&gt;&lt;wsp:rsid wsp:val=&quot;002D5FF3&quot;/&gt;&lt;wsp:rsid wsp:val=&quot;002E3DA1&quot;/&gt;&lt;wsp:rsid wsp:val=&quot;002E4E6C&quot;/&gt;&lt;wsp:rsid wsp:val=&quot;002E5CEC&quot;/&gt;&lt;wsp:rsid wsp:val=&quot;002F41E3&quot;/&gt;&lt;wsp:rsid wsp:val=&quot;00311084&quot;/&gt;&lt;wsp:rsid wsp:val=&quot;00314B4C&quot;/&gt;&lt;wsp:rsid wsp:val=&quot;003162D6&quot;/&gt;&lt;wsp:rsid wsp:val=&quot;003173BA&quot;/&gt;&lt;wsp:rsid wsp:val=&quot;003330C2&quot;/&gt;&lt;wsp:rsid wsp:val=&quot;00335076&quot;/&gt;&lt;wsp:rsid wsp:val=&quot;0034068C&quot;/&gt;&lt;wsp:rsid wsp:val=&quot;00347835&quot;/&gt;&lt;wsp:rsid wsp:val=&quot;0035061E&quot;/&gt;&lt;wsp:rsid wsp:val=&quot;00352082&quot;/&gt;&lt;wsp:rsid wsp:val=&quot;00355F98&quot;/&gt;&lt;wsp:rsid wsp:val=&quot;00357DBF&quot;/&gt;&lt;wsp:rsid wsp:val=&quot;0036271A&quot;/&gt;&lt;wsp:rsid wsp:val=&quot;00366E24&quot;/&gt;&lt;wsp:rsid wsp:val=&quot;00367D24&quot;/&gt;&lt;wsp:rsid wsp:val=&quot;00373508&quot;/&gt;&lt;wsp:rsid wsp:val=&quot;00387233&quot;/&gt;&lt;wsp:rsid wsp:val=&quot;00394896&quot;/&gt;&lt;wsp:rsid wsp:val=&quot;00397179&quot;/&gt;&lt;wsp:rsid wsp:val=&quot;003A0DC1&quot;/&gt;&lt;wsp:rsid wsp:val=&quot;003A12C3&quot;/&gt;&lt;wsp:rsid wsp:val=&quot;003A3B3C&quot;/&gt;&lt;wsp:rsid wsp:val=&quot;003A3DCF&quot;/&gt;&lt;wsp:rsid wsp:val=&quot;003A446B&quot;/&gt;&lt;wsp:rsid wsp:val=&quot;003A6392&quot;/&gt;&lt;wsp:rsid wsp:val=&quot;003B5133&quot;/&gt;&lt;wsp:rsid wsp:val=&quot;003D354B&quot;/&gt;&lt;wsp:rsid wsp:val=&quot;003D3D4F&quot;/&gt;&lt;wsp:rsid wsp:val=&quot;003E58A4&quot;/&gt;&lt;wsp:rsid wsp:val=&quot;003F0603&quot;/&gt;&lt;wsp:rsid wsp:val=&quot;003F203A&quot;/&gt;&lt;wsp:rsid wsp:val=&quot;00401EA6&quot;/&gt;&lt;wsp:rsid wsp:val=&quot;00403908&quot;/&gt;&lt;wsp:rsid wsp:val=&quot;00417352&quot;/&gt;&lt;wsp:rsid wsp:val=&quot;0042489B&quot;/&gt;&lt;wsp:rsid wsp:val=&quot;00434679&quot;/&gt;&lt;wsp:rsid wsp:val=&quot;00434847&quot;/&gt;&lt;wsp:rsid wsp:val=&quot;00437BFC&quot;/&gt;&lt;wsp:rsid wsp:val=&quot;004429B9&quot;/&gt;&lt;wsp:rsid wsp:val=&quot;00456935&quot;/&gt;&lt;wsp:rsid wsp:val=&quot;00457421&quot;/&gt;&lt;wsp:rsid wsp:val=&quot;00457E36&quot;/&gt;&lt;wsp:rsid wsp:val=&quot;00462D13&quot;/&gt;&lt;wsp:rsid wsp:val=&quot;00470176&quot;/&gt;&lt;wsp:rsid wsp:val=&quot;004707E6&quot;/&gt;&lt;wsp:rsid wsp:val=&quot;004732DB&quot;/&gt;&lt;wsp:rsid wsp:val=&quot;00476CE2&quot;/&gt;&lt;wsp:rsid wsp:val=&quot;0048587F&quot;/&gt;&lt;wsp:rsid wsp:val=&quot;0048697F&quot;/&gt;&lt;wsp:rsid wsp:val=&quot;00486A9B&quot;/&gt;&lt;wsp:rsid wsp:val=&quot;00491FCE&quot;/&gt;&lt;wsp:rsid wsp:val=&quot;004A4555&quot;/&gt;&lt;wsp:rsid wsp:val=&quot;004B38ED&quot;/&gt;&lt;wsp:rsid wsp:val=&quot;004B60CB&quot;/&gt;&lt;wsp:rsid wsp:val=&quot;004B6F00&quot;/&gt;&lt;wsp:rsid wsp:val=&quot;004C63E4&quot;/&gt;&lt;wsp:rsid wsp:val=&quot;004D16D5&quot;/&gt;&lt;wsp:rsid wsp:val=&quot;004D5612&quot;/&gt;&lt;wsp:rsid wsp:val=&quot;004D6354&quot;/&gt;&lt;wsp:rsid wsp:val=&quot;004E048E&quot;/&gt;&lt;wsp:rsid wsp:val=&quot;004E24B2&quot;/&gt;&lt;wsp:rsid wsp:val=&quot;004E389E&quot;/&gt;&lt;wsp:rsid wsp:val=&quot;004F6BAB&quot;/&gt;&lt;wsp:rsid wsp:val=&quot;005024EC&quot;/&gt;&lt;wsp:rsid wsp:val=&quot;00502867&quot;/&gt;&lt;wsp:rsid wsp:val=&quot;00510691&quot;/&gt;&lt;wsp:rsid wsp:val=&quot;00515BE5&quot;/&gt;&lt;wsp:rsid wsp:val=&quot;00515CEE&quot;/&gt;&lt;wsp:rsid wsp:val=&quot;00516238&quot;/&gt;&lt;wsp:rsid wsp:val=&quot;00525C7F&quot;/&gt;&lt;wsp:rsid wsp:val=&quot;00531777&quot;/&gt;&lt;wsp:rsid wsp:val=&quot;00541442&quot;/&gt;&lt;wsp:rsid wsp:val=&quot;00542815&quot;/&gt;&lt;wsp:rsid wsp:val=&quot;00547562&quot;/&gt;&lt;wsp:rsid wsp:val=&quot;00552DF0&quot;/&gt;&lt;wsp:rsid wsp:val=&quot;00564005&quot;/&gt;&lt;wsp:rsid wsp:val=&quot;00570ABC&quot;/&gt;&lt;wsp:rsid wsp:val=&quot;00577718&quot;/&gt;&lt;wsp:rsid wsp:val=&quot;00580C8D&quot;/&gt;&lt;wsp:rsid wsp:val=&quot;005821DD&quot;/&gt;&lt;wsp:rsid wsp:val=&quot;005824F0&quot;/&gt;&lt;wsp:rsid wsp:val=&quot;00582FE2&quot;/&gt;&lt;wsp:rsid wsp:val=&quot;0058319F&quot;/&gt;&lt;wsp:rsid wsp:val=&quot;00584C15&quot;/&gt;&lt;wsp:rsid wsp:val=&quot;005940C0&quot;/&gt;&lt;wsp:rsid wsp:val=&quot;00596E58&quot;/&gt;&lt;wsp:rsid wsp:val=&quot;00597EFF&quot;/&gt;&lt;wsp:rsid wsp:val=&quot;005A104D&quot;/&gt;&lt;wsp:rsid wsp:val=&quot;005A3C78&quot;/&gt;&lt;wsp:rsid wsp:val=&quot;005B28A2&quot;/&gt;&lt;wsp:rsid wsp:val=&quot;005B4DCE&quot;/&gt;&lt;wsp:rsid wsp:val=&quot;005C2AA6&quot;/&gt;&lt;wsp:rsid wsp:val=&quot;005D0EC2&quot;/&gt;&lt;wsp:rsid wsp:val=&quot;005D18BB&quot;/&gt;&lt;wsp:rsid wsp:val=&quot;005D1E24&quot;/&gt;&lt;wsp:rsid wsp:val=&quot;005E623B&quot;/&gt;&lt;wsp:rsid wsp:val=&quot;005E741B&quot;/&gt;&lt;wsp:rsid wsp:val=&quot;005F5061&quot;/&gt;&lt;wsp:rsid wsp:val=&quot;005F5846&quot;/&gt;&lt;wsp:rsid wsp:val=&quot;005F5F9E&quot;/&gt;&lt;wsp:rsid wsp:val=&quot;005F6C1C&quot;/&gt;&lt;wsp:rsid wsp:val=&quot;005F7CDF&quot;/&gt;&lt;wsp:rsid wsp:val=&quot;005F7F42&quot;/&gt;&lt;wsp:rsid wsp:val=&quot;006014DB&quot;/&gt;&lt;wsp:rsid wsp:val=&quot;00603442&quot;/&gt;&lt;wsp:rsid wsp:val=&quot;00610E32&quot;/&gt;&lt;wsp:rsid wsp:val=&quot;00620513&quot;/&gt;&lt;wsp:rsid wsp:val=&quot;00623367&quot;/&gt;&lt;wsp:rsid wsp:val=&quot;00625041&quot;/&gt;&lt;wsp:rsid wsp:val=&quot;006358A8&quot;/&gt;&lt;wsp:rsid wsp:val=&quot;006418CA&quot;/&gt;&lt;wsp:rsid wsp:val=&quot;00642527&quot;/&gt;&lt;wsp:rsid wsp:val=&quot;00645770&quot;/&gt;&lt;wsp:rsid wsp:val=&quot;0065227A&quot;/&gt;&lt;wsp:rsid wsp:val=&quot;0067125F&quot;/&gt;&lt;wsp:rsid wsp:val=&quot;0067542F&quot;/&gt;&lt;wsp:rsid wsp:val=&quot;00681FA0&quot;/&gt;&lt;wsp:rsid wsp:val=&quot;00685606&quot;/&gt;&lt;wsp:rsid wsp:val=&quot;00692142&quot;/&gt;&lt;wsp:rsid wsp:val=&quot;00697200&quot;/&gt;&lt;wsp:rsid wsp:val=&quot;006A2A79&quot;/&gt;&lt;wsp:rsid wsp:val=&quot;006A3EA7&quot;/&gt;&lt;wsp:rsid wsp:val=&quot;006A563C&quot;/&gt;&lt;wsp:rsid wsp:val=&quot;006B3D55&quot;/&gt;&lt;wsp:rsid wsp:val=&quot;006C5847&quot;/&gt;&lt;wsp:rsid wsp:val=&quot;006C69EA&quot;/&gt;&lt;wsp:rsid wsp:val=&quot;006E0322&quot;/&gt;&lt;wsp:rsid wsp:val=&quot;006E055E&quot;/&gt;&lt;wsp:rsid wsp:val=&quot;006E073B&quot;/&gt;&lt;wsp:rsid wsp:val=&quot;006E1441&quot;/&gt;&lt;wsp:rsid wsp:val=&quot;006E60A6&quot;/&gt;&lt;wsp:rsid wsp:val=&quot;006F21AA&quot;/&gt;&lt;wsp:rsid wsp:val=&quot;006F3D48&quot;/&gt;&lt;wsp:rsid wsp:val=&quot;00705339&quot;/&gt;&lt;wsp:rsid wsp:val=&quot;007428AE&quot;/&gt;&lt;wsp:rsid wsp:val=&quot;00750B78&quot;/&gt;&lt;wsp:rsid wsp:val=&quot;0076003E&quot;/&gt;&lt;wsp:rsid wsp:val=&quot;00760D65&quot;/&gt;&lt;wsp:rsid wsp:val=&quot;00765CF0&quot;/&gt;&lt;wsp:rsid wsp:val=&quot;00781896&quot;/&gt;&lt;wsp:rsid wsp:val=&quot;00786DAC&quot;/&gt;&lt;wsp:rsid wsp:val=&quot;00787C80&quot;/&gt;&lt;wsp:rsid wsp:val=&quot;00792468&quot;/&gt;&lt;wsp:rsid wsp:val=&quot;00794F26&quot;/&gt;&lt;wsp:rsid wsp:val=&quot;007A78D1&quot;/&gt;&lt;wsp:rsid wsp:val=&quot;007B7385&quot;/&gt;&lt;wsp:rsid wsp:val=&quot;007C0BCB&quot;/&gt;&lt;wsp:rsid wsp:val=&quot;007C1212&quot;/&gt;&lt;wsp:rsid wsp:val=&quot;007C2B43&quot;/&gt;&lt;wsp:rsid wsp:val=&quot;007C4522&quot;/&gt;&lt;wsp:rsid wsp:val=&quot;007D54CF&quot;/&gt;&lt;wsp:rsid wsp:val=&quot;007D73CA&quot;/&gt;&lt;wsp:rsid wsp:val=&quot;007E369A&quot;/&gt;&lt;wsp:rsid wsp:val=&quot;007F1DF7&quot;/&gt;&lt;wsp:rsid wsp:val=&quot;007F5F67&quot;/&gt;&lt;wsp:rsid wsp:val=&quot;007F7255&quot;/&gt;&lt;wsp:rsid wsp:val=&quot;00811A1B&quot;/&gt;&lt;wsp:rsid wsp:val=&quot;008179F4&quot;/&gt;&lt;wsp:rsid wsp:val=&quot;008218E3&quot;/&gt;&lt;wsp:rsid wsp:val=&quot;008220AF&quot;/&gt;&lt;wsp:rsid wsp:val=&quot;0082502D&quot;/&gt;&lt;wsp:rsid wsp:val=&quot;00826481&quot;/&gt;&lt;wsp:rsid wsp:val=&quot;00827703&quot;/&gt;&lt;wsp:rsid wsp:val=&quot;00827D39&quot;/&gt;&lt;wsp:rsid wsp:val=&quot;008342B7&quot;/&gt;&lt;wsp:rsid wsp:val=&quot;008346E7&quot;/&gt;&lt;wsp:rsid wsp:val=&quot;00834E7B&quot;/&gt;&lt;wsp:rsid wsp:val=&quot;00841497&quot;/&gt;&lt;wsp:rsid wsp:val=&quot;00843268&quot;/&gt;&lt;wsp:rsid wsp:val=&quot;00843B33&quot;/&gt;&lt;wsp:rsid wsp:val=&quot;00847DE2&quot;/&gt;&lt;wsp:rsid wsp:val=&quot;00851731&quot;/&gt;&lt;wsp:rsid wsp:val=&quot;00851D2F&quot;/&gt;&lt;wsp:rsid wsp:val=&quot;00851F86&quot;/&gt;&lt;wsp:rsid wsp:val=&quot;0085440B&quot;/&gt;&lt;wsp:rsid wsp:val=&quot;00855EAE&quot;/&gt;&lt;wsp:rsid wsp:val=&quot;0085640F&quot;/&gt;&lt;wsp:rsid wsp:val=&quot;008606CB&quot;/&gt;&lt;wsp:rsid wsp:val=&quot;008614C1&quot;/&gt;&lt;wsp:rsid wsp:val=&quot;008626B4&quot;/&gt;&lt;wsp:rsid wsp:val=&quot;00863F1D&quot;/&gt;&lt;wsp:rsid wsp:val=&quot;008750BF&quot;/&gt;&lt;wsp:rsid wsp:val=&quot;008828F7&quot;/&gt;&lt;wsp:rsid wsp:val=&quot;00884886&quot;/&gt;&lt;wsp:rsid wsp:val=&quot;008939C1&quot;/&gt;&lt;wsp:rsid wsp:val=&quot;008A0782&quot;/&gt;&lt;wsp:rsid wsp:val=&quot;008A70A2&quot;/&gt;&lt;wsp:rsid wsp:val=&quot;008B051B&quot;/&gt;&lt;wsp:rsid wsp:val=&quot;008B1DB9&quot;/&gt;&lt;wsp:rsid wsp:val=&quot;008C0CF2&quot;/&gt;&lt;wsp:rsid wsp:val=&quot;008C217E&quot;/&gt;&lt;wsp:rsid wsp:val=&quot;008C689F&quot;/&gt;&lt;wsp:rsid wsp:val=&quot;008C7A4E&quot;/&gt;&lt;wsp:rsid wsp:val=&quot;008D77C0&quot;/&gt;&lt;wsp:rsid wsp:val=&quot;008E131C&quot;/&gt;&lt;wsp:rsid wsp:val=&quot;008E7E04&quot;/&gt;&lt;wsp:rsid wsp:val=&quot;008F1649&quot;/&gt;&lt;wsp:rsid wsp:val=&quot;008F248B&quot;/&gt;&lt;wsp:rsid wsp:val=&quot;008F4964&quot;/&gt;&lt;wsp:rsid wsp:val=&quot;008F62CB&quot;/&gt;&lt;wsp:rsid wsp:val=&quot;0090235B&quot;/&gt;&lt;wsp:rsid wsp:val=&quot;0091077D&quot;/&gt;&lt;wsp:rsid wsp:val=&quot;00911B2B&quot;/&gt;&lt;wsp:rsid wsp:val=&quot;00914611&quot;/&gt;&lt;wsp:rsid wsp:val=&quot;009151FC&quot;/&gt;&lt;wsp:rsid wsp:val=&quot;009202A0&quot;/&gt;&lt;wsp:rsid wsp:val=&quot;00922D03&quot;/&gt;&lt;wsp:rsid wsp:val=&quot;0092639D&quot;/&gt;&lt;wsp:rsid wsp:val=&quot;00927F04&quot;/&gt;&lt;wsp:rsid wsp:val=&quot;00937316&quot;/&gt;&lt;wsp:rsid wsp:val=&quot;00937D79&quot;/&gt;&lt;wsp:rsid wsp:val=&quot;00940E34&quot;/&gt;&lt;wsp:rsid wsp:val=&quot;00943646&quot;/&gt;&lt;wsp:rsid wsp:val=&quot;00943B08&quot;/&gt;&lt;wsp:rsid wsp:val=&quot;009442F2&quot;/&gt;&lt;wsp:rsid wsp:val=&quot;00956694&quot;/&gt;&lt;wsp:rsid wsp:val=&quot;0095786D&quot;/&gt;&lt;wsp:rsid wsp:val=&quot;0096267B&quot;/&gt;&lt;wsp:rsid wsp:val=&quot;00964B55&quot;/&gt;&lt;wsp:rsid wsp:val=&quot;00967ACA&quot;/&gt;&lt;wsp:rsid wsp:val=&quot;00970810&quot;/&gt;&lt;wsp:rsid wsp:val=&quot;00974237&quot;/&gt;&lt;wsp:rsid wsp:val=&quot;00977664&quot;/&gt;&lt;wsp:rsid wsp:val=&quot;00982D70&quot;/&gt;&lt;wsp:rsid wsp:val=&quot;00991C9B&quot;/&gt;&lt;wsp:rsid wsp:val=&quot;00994A0D&quot;/&gt;&lt;wsp:rsid wsp:val=&quot;009A2208&quot;/&gt;&lt;wsp:rsid wsp:val=&quot;009A6117&quot;/&gt;&lt;wsp:rsid wsp:val=&quot;009B3556&quot;/&gt;&lt;wsp:rsid wsp:val=&quot;009B7415&quot;/&gt;&lt;wsp:rsid wsp:val=&quot;009C38F2&quot;/&gt;&lt;wsp:rsid wsp:val=&quot;009D2B70&quot;/&gt;&lt;wsp:rsid wsp:val=&quot;009E4301&quot;/&gt;&lt;wsp:rsid wsp:val=&quot;009F02AB&quot;/&gt;&lt;wsp:rsid wsp:val=&quot;009F6E1E&quot;/&gt;&lt;wsp:rsid wsp:val=&quot;009F6F40&quot;/&gt;&lt;wsp:rsid wsp:val=&quot;00A009E2&quot;/&gt;&lt;wsp:rsid wsp:val=&quot;00A02252&quot;/&gt;&lt;wsp:rsid wsp:val=&quot;00A0554B&quot;/&gt;&lt;wsp:rsid wsp:val=&quot;00A05710&quot;/&gt;&lt;wsp:rsid wsp:val=&quot;00A0728F&quot;/&gt;&lt;wsp:rsid wsp:val=&quot;00A136B5&quot;/&gt;&lt;wsp:rsid wsp:val=&quot;00A211AF&quot;/&gt;&lt;wsp:rsid wsp:val=&quot;00A217D0&quot;/&gt;&lt;wsp:rsid wsp:val=&quot;00A220BA&quot;/&gt;&lt;wsp:rsid wsp:val=&quot;00A262B6&quot;/&gt;&lt;wsp:rsid wsp:val=&quot;00A41D6E&quot;/&gt;&lt;wsp:rsid wsp:val=&quot;00A51097&quot;/&gt;&lt;wsp:rsid wsp:val=&quot;00A565DD&quot;/&gt;&lt;wsp:rsid wsp:val=&quot;00A6649D&quot;/&gt;&lt;wsp:rsid wsp:val=&quot;00A669F2&quot;/&gt;&lt;wsp:rsid wsp:val=&quot;00A71E9D&quot;/&gt;&lt;wsp:rsid wsp:val=&quot;00A83B95&quot;/&gt;&lt;wsp:rsid wsp:val=&quot;00A8437B&quot;/&gt;&lt;wsp:rsid wsp:val=&quot;00A85FE0&quot;/&gt;&lt;wsp:rsid wsp:val=&quot;00AA730E&quot;/&gt;&lt;wsp:rsid wsp:val=&quot;00AC1A39&quot;/&gt;&lt;wsp:rsid wsp:val=&quot;00AC43FC&quot;/&gt;&lt;wsp:rsid wsp:val=&quot;00AC4844&quot;/&gt;&lt;wsp:rsid wsp:val=&quot;00AC4C57&quot;/&gt;&lt;wsp:rsid wsp:val=&quot;00AC60C2&quot;/&gt;&lt;wsp:rsid wsp:val=&quot;00AC6AD3&quot;/&gt;&lt;wsp:rsid wsp:val=&quot;00AD35F6&quot;/&gt;&lt;wsp:rsid wsp:val=&quot;00AD37D3&quot;/&gt;&lt;wsp:rsid wsp:val=&quot;00AD784A&quot;/&gt;&lt;wsp:rsid wsp:val=&quot;00AF1E74&quot;/&gt;&lt;wsp:rsid wsp:val=&quot;00AF6286&quot;/&gt;&lt;wsp:rsid wsp:val=&quot;00B044C0&quot;/&gt;&lt;wsp:rsid wsp:val=&quot;00B0514F&quot;/&gt;&lt;wsp:rsid wsp:val=&quot;00B06838&quot;/&gt;&lt;wsp:rsid wsp:val=&quot;00B21281&quot;/&gt;&lt;wsp:rsid wsp:val=&quot;00B240E2&quot;/&gt;&lt;wsp:rsid wsp:val=&quot;00B27B11&quot;/&gt;&lt;wsp:rsid wsp:val=&quot;00B31A99&quot;/&gt;&lt;wsp:rsid wsp:val=&quot;00B34AB9&quot;/&gt;&lt;wsp:rsid wsp:val=&quot;00B36CB1&quot;/&gt;&lt;wsp:rsid wsp:val=&quot;00B81E22&quot;/&gt;&lt;wsp:rsid wsp:val=&quot;00B853BA&quot;/&gt;&lt;wsp:rsid wsp:val=&quot;00B942FB&quot;/&gt;&lt;wsp:rsid wsp:val=&quot;00BA4F47&quot;/&gt;&lt;wsp:rsid wsp:val=&quot;00BA61C1&quot;/&gt;&lt;wsp:rsid wsp:val=&quot;00BC1FCB&quot;/&gt;&lt;wsp:rsid wsp:val=&quot;00BD098C&quot;/&gt;&lt;wsp:rsid wsp:val=&quot;00BD1C1A&quot;/&gt;&lt;wsp:rsid wsp:val=&quot;00BD2C73&quot;/&gt;&lt;wsp:rsid wsp:val=&quot;00BD40CC&quot;/&gt;&lt;wsp:rsid wsp:val=&quot;00BF01C8&quot;/&gt;&lt;wsp:rsid wsp:val=&quot;00BF0DB9&quot;/&gt;&lt;wsp:rsid wsp:val=&quot;00BF6BF7&quot;/&gt;&lt;wsp:rsid wsp:val=&quot;00C002F4&quot;/&gt;&lt;wsp:rsid wsp:val=&quot;00C132C3&quot;/&gt;&lt;wsp:rsid wsp:val=&quot;00C156F7&quot;/&gt;&lt;wsp:rsid wsp:val=&quot;00C24ACF&quot;/&gt;&lt;wsp:rsid wsp:val=&quot;00C30886&quot;/&gt;&lt;wsp:rsid wsp:val=&quot;00C30C1B&quot;/&gt;&lt;wsp:rsid wsp:val=&quot;00C31E86&quot;/&gt;&lt;wsp:rsid wsp:val=&quot;00C335A5&quot;/&gt;&lt;wsp:rsid wsp:val=&quot;00C33752&quot;/&gt;&lt;wsp:rsid wsp:val=&quot;00C371BF&quot;/&gt;&lt;wsp:rsid wsp:val=&quot;00C408E1&quot;/&gt;&lt;wsp:rsid wsp:val=&quot;00C4448E&quot;/&gt;&lt;wsp:rsid wsp:val=&quot;00C44656&quot;/&gt;&lt;wsp:rsid wsp:val=&quot;00C47D0A&quot;/&gt;&lt;wsp:rsid wsp:val=&quot;00C47EA6&quot;/&gt;&lt;wsp:rsid wsp:val=&quot;00C52AB0&quot;/&gt;&lt;wsp:rsid wsp:val=&quot;00C54949&quot;/&gt;&lt;wsp:rsid wsp:val=&quot;00C56158&quot;/&gt;&lt;wsp:rsid wsp:val=&quot;00C575F6&quot;/&gt;&lt;wsp:rsid wsp:val=&quot;00C605BC&quot;/&gt;&lt;wsp:rsid wsp:val=&quot;00C80A38&quot;/&gt;&lt;wsp:rsid wsp:val=&quot;00C817DC&quot;/&gt;&lt;wsp:rsid wsp:val=&quot;00C846AF&quot;/&gt;&lt;wsp:rsid wsp:val=&quot;00C947A9&quot;/&gt;&lt;wsp:rsid wsp:val=&quot;00CA42A5&quot;/&gt;&lt;wsp:rsid wsp:val=&quot;00CB3255&quot;/&gt;&lt;wsp:rsid wsp:val=&quot;00CC1EF3&quot;/&gt;&lt;wsp:rsid wsp:val=&quot;00CC664B&quot;/&gt;&lt;wsp:rsid wsp:val=&quot;00CD0F3E&quot;/&gt;&lt;wsp:rsid wsp:val=&quot;00CD54C5&quot;/&gt;&lt;wsp:rsid wsp:val=&quot;00CD6A8D&quot;/&gt;&lt;wsp:rsid wsp:val=&quot;00CE5BAB&quot;/&gt;&lt;wsp:rsid wsp:val=&quot;00CE7925&quot;/&gt;&lt;wsp:rsid wsp:val=&quot;00CF7062&quot;/&gt;&lt;wsp:rsid wsp:val=&quot;00D027B6&quot;/&gt;&lt;wsp:rsid wsp:val=&quot;00D04C83&quot;/&gt;&lt;wsp:rsid wsp:val=&quot;00D16F16&quot;/&gt;&lt;wsp:rsid wsp:val=&quot;00D21040&quot;/&gt;&lt;wsp:rsid wsp:val=&quot;00D2373F&quot;/&gt;&lt;wsp:rsid wsp:val=&quot;00D242C9&quot;/&gt;&lt;wsp:rsid wsp:val=&quot;00D3353E&quot;/&gt;&lt;wsp:rsid wsp:val=&quot;00D43F84&quot;/&gt;&lt;wsp:rsid wsp:val=&quot;00D5757B&quot;/&gt;&lt;wsp:rsid wsp:val=&quot;00D62D33&quot;/&gt;&lt;wsp:rsid wsp:val=&quot;00D63E3C&quot;/&gt;&lt;wsp:rsid wsp:val=&quot;00D74C6C&quot;/&gt;&lt;wsp:rsid wsp:val=&quot;00DA1162&quot;/&gt;&lt;wsp:rsid wsp:val=&quot;00DA4E55&quot;/&gt;&lt;wsp:rsid wsp:val=&quot;00DA507B&quot;/&gt;&lt;wsp:rsid wsp:val=&quot;00DA63AB&quot;/&gt;&lt;wsp:rsid wsp:val=&quot;00DA7BF2&quot;/&gt;&lt;wsp:rsid wsp:val=&quot;00DA7D36&quot;/&gt;&lt;wsp:rsid wsp:val=&quot;00DB2EF6&quot;/&gt;&lt;wsp:rsid wsp:val=&quot;00DB39A9&quot;/&gt;&lt;wsp:rsid wsp:val=&quot;00DB72C6&quot;/&gt;&lt;wsp:rsid wsp:val=&quot;00DC0A39&quot;/&gt;&lt;wsp:rsid wsp:val=&quot;00DC39FB&quot;/&gt;&lt;wsp:rsid wsp:val=&quot;00DC6D97&quot;/&gt;&lt;wsp:rsid wsp:val=&quot;00DD2A65&quot;/&gt;&lt;wsp:rsid wsp:val=&quot;00DD3DB9&quot;/&gt;&lt;wsp:rsid wsp:val=&quot;00DE1785&quot;/&gt;&lt;wsp:rsid wsp:val=&quot;00DE4084&quot;/&gt;&lt;wsp:rsid wsp:val=&quot;00DE4677&quot;/&gt;&lt;wsp:rsid wsp:val=&quot;00DE642E&quot;/&gt;&lt;wsp:rsid wsp:val=&quot;00DE78B2&quot;/&gt;&lt;wsp:rsid wsp:val=&quot;00DF0EC8&quot;/&gt;&lt;wsp:rsid wsp:val=&quot;00DF1FEA&quot;/&gt;&lt;wsp:rsid wsp:val=&quot;00DF362F&quot;/&gt;&lt;wsp:rsid wsp:val=&quot;00E01709&quot;/&gt;&lt;wsp:rsid wsp:val=&quot;00E03A2C&quot;/&gt;&lt;wsp:rsid wsp:val=&quot;00E07F97&quot;/&gt;&lt;wsp:rsid wsp:val=&quot;00E10568&quot;/&gt;&lt;wsp:rsid wsp:val=&quot;00E15921&quot;/&gt;&lt;wsp:rsid wsp:val=&quot;00E17A9F&quot;/&gt;&lt;wsp:rsid wsp:val=&quot;00E25494&quot;/&gt;&lt;wsp:rsid wsp:val=&quot;00E27174&quot;/&gt;&lt;wsp:rsid wsp:val=&quot;00E34037&quot;/&gt;&lt;wsp:rsid wsp:val=&quot;00E34FD9&quot;/&gt;&lt;wsp:rsid wsp:val=&quot;00E425F1&quot;/&gt;&lt;wsp:rsid wsp:val=&quot;00E429AD&quot;/&gt;&lt;wsp:rsid wsp:val=&quot;00E46C3E&quot;/&gt;&lt;wsp:rsid wsp:val=&quot;00E529E1&quot;/&gt;&lt;wsp:rsid wsp:val=&quot;00E663D0&quot;/&gt;&lt;wsp:rsid wsp:val=&quot;00E6775B&quot;/&gt;&lt;wsp:rsid wsp:val=&quot;00E72E68&quot;/&gt;&lt;wsp:rsid wsp:val=&quot;00E738BD&quot;/&gt;&lt;wsp:rsid wsp:val=&quot;00E76EC8&quot;/&gt;&lt;wsp:rsid wsp:val=&quot;00E77D65&quot;/&gt;&lt;wsp:rsid wsp:val=&quot;00E87013&quot;/&gt;&lt;wsp:rsid wsp:val=&quot;00E9319C&quot;/&gt;&lt;wsp:rsid wsp:val=&quot;00EA4E90&quot;/&gt;&lt;wsp:rsid wsp:val=&quot;00EA54E8&quot;/&gt;&lt;wsp:rsid wsp:val=&quot;00EA7483&quot;/&gt;&lt;wsp:rsid wsp:val=&quot;00EB6F84&quot;/&gt;&lt;wsp:rsid wsp:val=&quot;00EC171C&quot;/&gt;&lt;wsp:rsid wsp:val=&quot;00EC1D3C&quot;/&gt;&lt;wsp:rsid wsp:val=&quot;00EC79B4&quot;/&gt;&lt;wsp:rsid wsp:val=&quot;00ED2DDD&quot;/&gt;&lt;wsp:rsid wsp:val=&quot;00EE21AC&quot;/&gt;&lt;wsp:rsid wsp:val=&quot;00EE5A0C&quot;/&gt;&lt;wsp:rsid wsp:val=&quot;00EE604B&quot;/&gt;&lt;wsp:rsid wsp:val=&quot;00EF1DF7&quot;/&gt;&lt;wsp:rsid wsp:val=&quot;00EF6746&quot;/&gt;&lt;wsp:rsid wsp:val=&quot;00F04442&quot;/&gt;&lt;wsp:rsid wsp:val=&quot;00F10047&quot;/&gt;&lt;wsp:rsid wsp:val=&quot;00F10E7A&quot;/&gt;&lt;wsp:rsid wsp:val=&quot;00F15389&quot;/&gt;&lt;wsp:rsid wsp:val=&quot;00F208A8&quot;/&gt;&lt;wsp:rsid wsp:val=&quot;00F22A44&quot;/&gt;&lt;wsp:rsid wsp:val=&quot;00F31E89&quot;/&gt;&lt;wsp:rsid wsp:val=&quot;00F340D1&quot;/&gt;&lt;wsp:rsid wsp:val=&quot;00F400C1&quot;/&gt;&lt;wsp:rsid wsp:val=&quot;00F41632&quot;/&gt;&lt;wsp:rsid wsp:val=&quot;00F43265&quot;/&gt;&lt;wsp:rsid wsp:val=&quot;00F4441C&quot;/&gt;&lt;wsp:rsid wsp:val=&quot;00F622DA&quot;/&gt;&lt;wsp:rsid wsp:val=&quot;00F64FA0&quot;/&gt;&lt;wsp:rsid wsp:val=&quot;00F77E59&quot;/&gt;&lt;wsp:rsid wsp:val=&quot;00F853C0&quot;/&gt;&lt;wsp:rsid wsp:val=&quot;00F94D09&quot;/&gt;&lt;wsp:rsid wsp:val=&quot;00FA31CB&quot;/&gt;&lt;wsp:rsid wsp:val=&quot;00FA6FD1&quot;/&gt;&lt;wsp:rsid wsp:val=&quot;00FB0E3C&quot;/&gt;&lt;wsp:rsid wsp:val=&quot;00FC0ED8&quot;/&gt;&lt;wsp:rsid wsp:val=&quot;00FC5BD5&quot;/&gt;&lt;wsp:rsid wsp:val=&quot;00FC7AEE&quot;/&gt;&lt;wsp:rsid wsp:val=&quot;00FD0D0D&quot;/&gt;&lt;wsp:rsid wsp:val=&quot;00FD3242&quot;/&gt;&lt;wsp:rsid wsp:val=&quot;00FD60FD&quot;/&gt;&lt;wsp:rsid wsp:val=&quot;00FF169D&quot;/&gt;&lt;wsp:rsid wsp:val=&quot;00FF5335&quot;/&gt;&lt;wsp:rsid wsp:val=&quot;05DC552B&quot;/&gt;&lt;wsp:rsid wsp:val=&quot;07ED11D9&quot;/&gt;&lt;wsp:rsid wsp:val=&quot;07FD0B9C&quot;/&gt;&lt;wsp:rsid wsp:val=&quot;0AC4629B&quot;/&gt;&lt;wsp:rsid wsp:val=&quot;0D335BB9&quot;/&gt;&lt;wsp:rsid wsp:val=&quot;0E694387&quot;/&gt;&lt;wsp:rsid wsp:val=&quot;117B3533&quot;/&gt;&lt;wsp:rsid wsp:val=&quot;13E03AFB&quot;/&gt;&lt;wsp:rsid wsp:val=&quot;195B3A8A&quot;/&gt;&lt;wsp:rsid wsp:val=&quot;1CA30C11&quot;/&gt;&lt;wsp:rsid wsp:val=&quot;1CCD7B2A&quot;/&gt;&lt;wsp:rsid wsp:val=&quot;1D0D3BB9&quot;/&gt;&lt;wsp:rsid wsp:val=&quot;1DCA04CD&quot;/&gt;&lt;wsp:rsid wsp:val=&quot;200B2F69&quot;/&gt;&lt;wsp:rsid wsp:val=&quot;24053836&quot;/&gt;&lt;wsp:rsid wsp:val=&quot;27E25319&quot;/&gt;&lt;wsp:rsid wsp:val=&quot;2A5C47CE&quot;/&gt;&lt;wsp:rsid wsp:val=&quot;2D2F2B67&quot;/&gt;&lt;wsp:rsid wsp:val=&quot;2F454B1C&quot;/&gt;&lt;wsp:rsid wsp:val=&quot;2FDC7EC5&quot;/&gt;&lt;wsp:rsid wsp:val=&quot;327B7812&quot;/&gt;&lt;wsp:rsid wsp:val=&quot;336156FD&quot;/&gt;&lt;wsp:rsid wsp:val=&quot;33ED0381&quot;/&gt;&lt;wsp:rsid wsp:val=&quot;34523EA6&quot;/&gt;&lt;wsp:rsid wsp:val=&quot;345A7665&quot;/&gt;&lt;wsp:rsid wsp:val=&quot;346357C3&quot;/&gt;&lt;wsp:rsid wsp:val=&quot;383E264C&quot;/&gt;&lt;wsp:rsid wsp:val=&quot;3BAE0D76&quot;/&gt;&lt;wsp:rsid wsp:val=&quot;3CF00D1D&quot;/&gt;&lt;wsp:rsid wsp:val=&quot;3F536D00&quot;/&gt;&lt;wsp:rsid wsp:val=&quot;3F9663B3&quot;/&gt;&lt;wsp:rsid wsp:val=&quot;40423202&quot;/&gt;&lt;wsp:rsid wsp:val=&quot;41580108&quot;/&gt;&lt;wsp:rsid wsp:val=&quot;41810B10&quot;/&gt;&lt;wsp:rsid wsp:val=&quot;42ED4D2A&quot;/&gt;&lt;wsp:rsid wsp:val=&quot;43084E23&quot;/&gt;&lt;wsp:rsid wsp:val=&quot;43EA5695&quot;/&gt;&lt;wsp:rsid wsp:val=&quot;46C15811&quot;/&gt;&lt;wsp:rsid wsp:val=&quot;47114F5F&quot;/&gt;&lt;wsp:rsid wsp:val=&quot;492027FC&quot;/&gt;&lt;wsp:rsid wsp:val=&quot;4D2D339A&quot;/&gt;&lt;wsp:rsid wsp:val=&quot;50466E0D&quot;/&gt;&lt;wsp:rsid wsp:val=&quot;508F4FFC&quot;/&gt;&lt;wsp:rsid wsp:val=&quot;537E5E22&quot;/&gt;&lt;wsp:rsid wsp:val=&quot;58C60B9E&quot;/&gt;&lt;wsp:rsid wsp:val=&quot;59D339BE&quot;/&gt;&lt;wsp:rsid wsp:val=&quot;5A0B7CE5&quot;/&gt;&lt;wsp:rsid wsp:val=&quot;5D242FA7&quot;/&gt;&lt;wsp:rsid wsp:val=&quot;5E026BB3&quot;/&gt;&lt;wsp:rsid wsp:val=&quot;5F1D2DDD&quot;/&gt;&lt;wsp:rsid wsp:val=&quot;63372798&quot;/&gt;&lt;wsp:rsid wsp:val=&quot;638D20C0&quot;/&gt;&lt;wsp:rsid wsp:val=&quot;678E4297&quot;/&gt;&lt;wsp:rsid wsp:val=&quot;68D64884&quot;/&gt;&lt;wsp:rsid wsp:val=&quot;68EC4DFB&quot;/&gt;&lt;wsp:rsid wsp:val=&quot;6C120794&quot;/&gt;&lt;wsp:rsid wsp:val=&quot;6EEE6BB0&quot;/&gt;&lt;wsp:rsid wsp:val=&quot;6FF56DE8&quot;/&gt;&lt;wsp:rsid wsp:val=&quot;704877F5&quot;/&gt;&lt;wsp:rsid wsp:val=&quot;746E4C8E&quot;/&gt;&lt;wsp:rsid wsp:val=&quot;76446ABD&quot;/&gt;&lt;wsp:rsid wsp:val=&quot;78A529DD&quot;/&gt;&lt;wsp:rsid wsp:val=&quot;797DDCC6&quot;/&gt;&lt;wsp:rsid wsp:val=&quot;79C62419&quot;/&gt;&lt;wsp:rsid wsp:val=&quot;79F03A81&quot;/&gt;&lt;wsp:rsid wsp:val=&quot;7A465F70&quot;/&gt;&lt;wsp:rsid wsp:val=&quot;7C7572E5&quot;/&gt;&lt;wsp:rsid wsp:val=&quot;7E4014B7&quot;/&gt;&lt;wsp:rsid wsp:val=&quot;7E5FD821&quot;/&gt;&lt;/wsp:rsids&gt;&lt;/w:docPr&gt;&lt;w:body&gt;&lt;wx:sect&gt;&lt;w:p wsp:rsidR=&quot;00000000&quot; wsp:rsidRDefault=&quot;00AD35F6&quot; wsp:rsidP=&quot;00AD35F6&quot;&gt;&lt;m:oMathPara&gt;&lt;m:oMath&gt;&lt;m:r&gt;&lt;w:rPr&gt;&lt;w:rFonts w:ascii=&quot;Cambria Math&quot; w:h-ansi=&quot;Cambria Math&quot; w:cs=&quot;SSJ-PK748200007c4-Identity-H&quot;/&gt;&lt;wx:font wx:val=&quot;Cambria Math&quot;/&gt;&lt;w:i/&gt;&lt;/w:rPr&gt;&lt;m:t&gt;y=&lt;/m:t&gt;&lt;/m:r&gt;&lt;m:f&gt;&lt;m:fPr&gt;&lt;m:ctrlPr&gt;&lt;w:rPr&gt;&lt;w:rFonts w:ascii=&quot;Cambria Math&quot; w:h-ansi=&quot;Cambria Math&quot; w:cs=&quot;SSJ-PK748200007c4-Identity-H&quot;/&gt;&lt;wx:font wx:val=&quot;Cambria Math&quot;/&gt;&lt;w:i/&gt;&lt;/w:rPr&gt;&lt;/m:ctrlPr&gt;&lt;/m:fPr&gt;&lt;m:num&gt;&lt;m:sSub&gt;&lt;m:sSubPr&gt;&lt;m:ctrlPr&gt;&lt;w:rPr&gt;&lt;w:rFonts w:ascii=&quot;Cambria Math&quot; w:h-ansi=&quot;Cambria Math&quot; w:cs=&quot;SSJ-PK748200007c4-Identity-H&quot;/&gt;&lt;wx:font wx:val=&quot;Cambria Math&quot;/&gt;&lt;w:i/&gt;&lt;/w:rPr&gt;&lt;/m:ctrlPr&gt;&lt;/m:sSubPr&gt;&lt;m:e&gt;&lt;m:r&gt;&lt;w:rPr&gt;&lt;w:rFonts w:ascii=&quot;Cambria Math&quot; w:h-ansi=&quot;Cambria Math&quot; w:cs=&quot;SSJ-PK748200007c4-Identity-H&quot;/&gt;&lt;wx:font wx:val=&quot;Cambria Math&quot;/&gt;&lt;w:i/&gt;&lt;/w:rPr&gt;&lt;m:t&gt;U&lt;/m:t&gt;&lt;/m:r&gt;&lt;/m:e&gt;&lt;m:sub&gt;&lt;m:r&gt;&lt;w:rPr&gt;&lt;w:rFonts w:ascii=&quot;Cambria Math&quot; w:h-ansi=&quot;Cambria Math&quot; w:cs=&quot;SSJ-PK748200007c4-Identity-H&quot;/&gt;&lt;wx:font wx:val=&quot;Cambria Math&quot;/&gt;&lt;w:i/&gt;&lt;/w:rPr&gt;&lt;m:t&gt;max&lt;/m:t&gt;&lt;/m:r&gt;&lt;/m:sub&gt;&lt;/m:sSub&gt;&lt;m:r&gt;&lt;w:rPr&gt;&lt;w:rFonts w:ascii=&quot;Cambria Math&quot; w:h-ansi=&quot;Cambria Math&quot; w:cs=&quot;SSJ-PK748200007c4-Identity-H&quot;/&gt;&lt;wx:font wx:val=&quot;Cambria Math&quot;/&gt;&lt;w:i/&gt;&lt;/w:rPr&gt;&lt;m:t&gt;-400[V]&lt;/m:t&gt;&lt;/m:r&gt;&lt;/m:num&gt;&lt;m:den&gt;&lt;m:r&gt;&lt;w:rPr&gt;&lt;w:rFonts w:ascii=&quot;Cambria Math&quot; w:h-ansi=&quot;Cambria Math&quot; w:cs=&quot;SSJ-PK748200007c4-Identity-H&quot;/&gt;&lt;wx:font wx:val=&quot;Cambria Math&quot;/&gt;&lt;w:i/&gt;&lt;/w:rPr&gt;&lt;m:t&gt;600[V]&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instrText xml:space="preserve"> </w:instrText>
            </w:r>
            <w:r>
              <w:fldChar w:fldCharType="separate"/>
            </w:r>
            <w:r>
              <w:rPr>
                <w:position w:val="-26"/>
              </w:rPr>
              <w:pict>
                <v:shape id="_x0000_i1026" type="#_x0000_t75" style="width:67.6pt;height:3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420&quot;/&gt;&lt;w:doNotHyphenateCaps/&gt;&lt;w:drawingGridHorizontalSpacing w:val=&quot;105&quot;/&gt;&lt;w:drawingGridVerticalSpacing w:val=&quot;156&quot;/&gt;&lt;w:characterSpacingControl w:val=&quot;CompressPunctuation&quot;/&gt;&lt;w:noLineBreaksAfter w:lang=&quot;ZH-CN&quot; w:val=&quot;$([{￡￥·‘“〈《「『【〔〖〝﹙﹛﹝＄（．［｛￡￥&quot;/&gt;&lt;w:noLineBreaksBefore w:lang=&quot;ZH-CN&quot; w:val=&quot;!%),.:;&amp;gt;?]}￠¨°·ˇˉ―‖’”…‰′″?℃∶、。〃〉》」』】〕〗〞︶︺︾﹀﹄﹚﹜﹞！＂％＇），．：；？］｀｜｝～￠&quot;/&gt;&lt;w:validateAgainstaracterSpacingControl w:val=&quot;CompressPunctuation&quot;/&gt;&lt;w:noLineBreaksAfter w: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6513C&quot;/&gt;&lt;wsp:rsid wsp:val=&quot;FF8D780E&quot;/&gt;&lt;wsp:rsid wsp:val=&quot;00004A85&quot;/&gt;&lt;wsp:rsid wsp:val=&quot;00007E33&quot;/&gt;&lt;wsp:rsid wsp:val=&quot;00013079&quot;/&gt;&lt;wsp:rsid wsp:val=&quot;00031BAA&quot;/&gt;&lt;wsp:rsid wsp:val=&quot;0003677C&quot;/&gt;&lt;wsp:rsid wsp:val=&quot;000402DE&quot;/&gt;&lt;wsp:rsid wsp:val=&quot;00041D19&quot;/&gt;&lt;wsp:rsid wsp:val=&quot;00051005&quot;/&gt;&lt;wsp:rsid wsp:val=&quot;00061EC5&quot;/&gt;&lt;wsp:rsid wsp:val=&quot;00064BE5&quot;/&gt;&lt;wsp:rsid wsp:val=&quot;00084C3E&quot;/&gt;&lt;wsp:rsid wsp:val=&quot;000909D1&quot;/&gt;&lt;wsp:rsid wsp:val=&quot;00091F52&quot;/&gt;&lt;wsp:rsid wsp:val=&quot;00094597&quot;/&gt;&lt;wsp:rsid wsp:val=&quot;00097976&quot;/&gt;&lt;wsp:rsid wsp:val=&quot;000A0D37&quot;/&gt;&lt;wsp:rsid wsp:val=&quot;000A2603&quot;/&gt;&lt;wsp:rsid wsp:val=&quot;000B2328&quot;/&gt;&lt;wsp:rsid wsp:val=&quot;000B510E&quot;/&gt;&lt;wsp:rsid wsp:val=&quot;000C06B7&quot;/&gt;&lt;wsp:rsid wsp:val=&quot;000C2566&quot;/&gt;&lt;wsp:rsid wsp:val=&quot;000D4C70&quot;/&gt;&lt;wsp:rsid wsp:val=&quot;000D54EF&quot;/&gt;&lt;wsp:rsid wsp:val=&quot;000F3FBA&quot;/&gt;&lt;wsp:rsid wsp:val=&quot;000F4268&quot;/&gt;&lt;wsp:rsid wsp:val=&quot;00101CD5&quot;/&gt;&lt;wsp:rsid wsp:val=&quot;00103F0A&quot;/&gt;&lt;wsp:rsid wsp:val=&quot;001043AB&quot;/&gt;&lt;wsp:rsid wsp:val=&quot;0011008C&quot;/&gt;&lt;wsp:rsid wsp:val=&quot;00114E60&quot;/&gt;&lt;wsp:rsid wsp:val=&quot;0011575D&quot;/&gt;&lt;wsp:rsid wsp:val=&quot;00115D80&quot;/&gt;&lt;wsp:rsid wsp:val=&quot;001214B7&quot;/&gt;&lt;wsp:rsid wsp:val=&quot;0012281B&quot;/&gt;&lt;wsp:rsid wsp:val=&quot;00124992&quot;/&gt;&lt;wsp:rsid wsp:val=&quot;00125784&quot;/&gt;&lt;wsp:rsid wsp:val=&quot;00126593&quot;/&gt;&lt;wsp:rsid wsp:val=&quot;001323BE&quot;/&gt;&lt;wsp:rsid wsp:val=&quot;00134253&quot;/&gt;&lt;wsp:rsid wsp:val=&quot;00134A42&quot;/&gt;&lt;wsp:rsid wsp:val=&quot;00135714&quot;/&gt;&lt;wsp:rsid wsp:val=&quot;00152759&quot;/&gt;&lt;wsp:rsid wsp:val=&quot;00157EEB&quot;/&gt;&lt;wsp:rsid wsp:val=&quot;001616BA&quot;/&gt;&lt;wsp:rsid wsp:val=&quot;001631A3&quot;/&gt;&lt;wsp:rsid wsp:val=&quot;0016513C&quot;/&gt;&lt;wsp:rsid wsp:val=&quot;00176727&quot;/&gt;&lt;wsp:rsid wsp:val=&quot;001826E5&quot;/&gt;&lt;wsp:rsid wsp:val=&quot;00184266&quot;/&gt;&lt;wsp:rsid wsp:val=&quot;00185752&quot;/&gt;&lt;wsp:rsid wsp:val=&quot;001904D4&quot;/&gt;&lt;wsp:rsid wsp:val=&quot;001913CD&quot;/&gt;&lt;wsp:rsid wsp:val=&quot;00192294&quot;/&gt;&lt;wsp:rsid wsp:val=&quot;00197EFE&quot;/&gt;&lt;wsp:rsid wsp:val=&quot;001B0CFF&quot;/&gt;&lt;wsp:rsid wsp:val=&quot;001B19B7&quot;/&gt;&lt;wsp:rsid wsp:val=&quot;001B4779&quot;/&gt;&lt;wsp:rsid wsp:val=&quot;001B565F&quot;/&gt;&lt;wsp:rsid wsp:val=&quot;001B7F06&quot;/&gt;&lt;wsp:rsid wsp:val=&quot;001C170B&quot;/&gt;&lt;wsp:rsid wsp:val=&quot;001C1BA2&quot;/&gt;&lt;wsp:rsid wsp:val=&quot;001C4244&quot;/&gt;&lt;wsp:rsid wsp:val=&quot;001D7486&quot;/&gt;&lt;wsp:rsid wsp:val=&quot;001E4549&quot;/&gt;&lt;wsp:rsid wsp:val=&quot;001F10ED&quot;/&gt;&lt;wsp:rsid wsp:val=&quot;001F29B9&quot;/&gt;&lt;wsp:rsid wsp:val=&quot;001F2B68&quot;/&gt;&lt;wsp:rsid wsp:val=&quot;001F6529&quot;/&gt;&lt;wsp:rsid wsp:val=&quot;00200A33&quot;/&gt;&lt;wsp:rsid wsp:val=&quot;0020249C&quot;/&gt;&lt;wsp:rsid wsp:val=&quot;00202EDB&quot;/&gt;&lt;wsp:rsid wsp:val=&quot;00213076&quot;/&gt;&lt;wsp:rsid wsp:val=&quot;0021369D&quot;/&gt;&lt;wsp:rsid wsp:val=&quot;00222F35&quot;/&gt;&lt;wsp:rsid wsp:val=&quot;00234FC8&quot;/&gt;&lt;wsp:rsid wsp:val=&quot;00235C70&quot;/&gt;&lt;wsp:rsid wsp:val=&quot;00240F29&quot;/&gt;&lt;wsp:rsid wsp:val=&quot;00246CF6&quot;/&gt;&lt;wsp:rsid wsp:val=&quot;002511CE&quot;/&gt;&lt;wsp:rsid wsp:val=&quot;002536B5&quot;/&gt;&lt;wsp:rsid wsp:val=&quot;00254E49&quot;/&gt;&lt;wsp:rsid wsp:val=&quot;00256C30&quot;/&gt;&lt;wsp:rsid wsp:val=&quot;00272D75&quot;/&gt;&lt;wsp:rsid wsp:val=&quot;00276BD3&quot;/&gt;&lt;wsp:rsid wsp:val=&quot;00277078&quot;/&gt;&lt;wsp:rsid wsp:val=&quot;002800F6&quot;/&gt;&lt;wsp:rsid wsp:val=&quot;002940C2&quot;/&gt;&lt;wsp:rsid wsp:val=&quot;00294C2E&quot;/&gt;&lt;wsp:rsid wsp:val=&quot;002A3D30&quot;/&gt;&lt;wsp:rsid wsp:val=&quot;002A6D05&quot;/&gt;&lt;wsp:rsid wsp:val=&quot;002B1862&quot;/&gt;&lt;wsp:rsid wsp:val=&quot;002B23D0&quot;/&gt;&lt;wsp:rsid wsp:val=&quot;002B635C&quot;/&gt;&lt;wsp:rsid wsp:val=&quot;002C37F8&quot;/&gt;&lt;wsp:rsid wsp:val=&quot;002C5034&quot;/&gt;&lt;wsp:rsid wsp:val=&quot;002D59C5&quot;/&gt;&lt;wsp:rsid wsp:val=&quot;002D5FF3&quot;/&gt;&lt;wsp:rsid wsp:val=&quot;002E3DA1&quot;/&gt;&lt;wsp:rsid wsp:val=&quot;002E4E6C&quot;/&gt;&lt;wsp:rsid wsp:val=&quot;002E5CEC&quot;/&gt;&lt;wsp:rsid wsp:val=&quot;002F41E3&quot;/&gt;&lt;wsp:rsid wsp:val=&quot;00311084&quot;/&gt;&lt;wsp:rsid wsp:val=&quot;00314B4C&quot;/&gt;&lt;wsp:rsid wsp:val=&quot;003162D6&quot;/&gt;&lt;wsp:rsid wsp:val=&quot;003173BA&quot;/&gt;&lt;wsp:rsid wsp:val=&quot;003330C2&quot;/&gt;&lt;wsp:rsid wsp:val=&quot;00335076&quot;/&gt;&lt;wsp:rsid wsp:val=&quot;0034068C&quot;/&gt;&lt;wsp:rsid wsp:val=&quot;00347835&quot;/&gt;&lt;wsp:rsid wsp:val=&quot;0035061E&quot;/&gt;&lt;wsp:rsid wsp:val=&quot;00352082&quot;/&gt;&lt;wsp:rsid wsp:val=&quot;00355F98&quot;/&gt;&lt;wsp:rsid wsp:val=&quot;00357DBF&quot;/&gt;&lt;wsp:rsid wsp:val=&quot;0036271A&quot;/&gt;&lt;wsp:rsid wsp:val=&quot;00366E24&quot;/&gt;&lt;wsp:rsid wsp:val=&quot;00367D24&quot;/&gt;&lt;wsp:rsid wsp:val=&quot;00373508&quot;/&gt;&lt;wsp:rsid wsp:val=&quot;00387233&quot;/&gt;&lt;wsp:rsid wsp:val=&quot;00394896&quot;/&gt;&lt;wsp:rsid wsp:val=&quot;00397179&quot;/&gt;&lt;wsp:rsid wsp:val=&quot;003A0DC1&quot;/&gt;&lt;wsp:rsid wsp:val=&quot;003A12C3&quot;/&gt;&lt;wsp:rsid wsp:val=&quot;003A3B3C&quot;/&gt;&lt;wsp:rsid wsp:val=&quot;003A3DCF&quot;/&gt;&lt;wsp:rsid wsp:val=&quot;003A446B&quot;/&gt;&lt;wsp:rsid wsp:val=&quot;003A6392&quot;/&gt;&lt;wsp:rsid wsp:val=&quot;003B5133&quot;/&gt;&lt;wsp:rsid wsp:val=&quot;003D354B&quot;/&gt;&lt;wsp:rsid wsp:val=&quot;003D3D4F&quot;/&gt;&lt;wsp:rsid wsp:val=&quot;003E58A4&quot;/&gt;&lt;wsp:rsid wsp:val=&quot;003F0603&quot;/&gt;&lt;wsp:rsid wsp:val=&quot;003F203A&quot;/&gt;&lt;wsp:rsid wsp:val=&quot;00401EA6&quot;/&gt;&lt;wsp:rsid wsp:val=&quot;00403908&quot;/&gt;&lt;wsp:rsid wsp:val=&quot;00417352&quot;/&gt;&lt;wsp:rsid wsp:val=&quot;0042489B&quot;/&gt;&lt;wsp:rsid wsp:val=&quot;00434679&quot;/&gt;&lt;wsp:rsid wsp:val=&quot;00434847&quot;/&gt;&lt;wsp:rsid wsp:val=&quot;00437BFC&quot;/&gt;&lt;wsp:rsid wsp:val=&quot;004429B9&quot;/&gt;&lt;wsp:rsid wsp:val=&quot;00456935&quot;/&gt;&lt;wsp:rsid wsp:val=&quot;00457421&quot;/&gt;&lt;wsp:rsid wsp:val=&quot;00457E36&quot;/&gt;&lt;wsp:rsid wsp:val=&quot;00462D13&quot;/&gt;&lt;wsp:rsid wsp:val=&quot;00470176&quot;/&gt;&lt;wsp:rsid wsp:val=&quot;004707E6&quot;/&gt;&lt;wsp:rsid wsp:val=&quot;004732DB&quot;/&gt;&lt;wsp:rsid wsp:val=&quot;00476CE2&quot;/&gt;&lt;wsp:rsid wsp:val=&quot;0048587F&quot;/&gt;&lt;wsp:rsid wsp:val=&quot;0048697F&quot;/&gt;&lt;wsp:rsid wsp:val=&quot;00486A9B&quot;/&gt;&lt;wsp:rsid wsp:val=&quot;00491FCE&quot;/&gt;&lt;wsp:rsid wsp:val=&quot;004A4555&quot;/&gt;&lt;wsp:rsid wsp:val=&quot;004B38ED&quot;/&gt;&lt;wsp:rsid wsp:val=&quot;004B60CB&quot;/&gt;&lt;wsp:rsid wsp:val=&quot;004B6F00&quot;/&gt;&lt;wsp:rsid wsp:val=&quot;004C63E4&quot;/&gt;&lt;wsp:rsid wsp:val=&quot;004D16D5&quot;/&gt;&lt;wsp:rsid wsp:val=&quot;004D5612&quot;/&gt;&lt;wsp:rsid wsp:val=&quot;004D6354&quot;/&gt;&lt;wsp:rsid wsp:val=&quot;004E048E&quot;/&gt;&lt;wsp:rsid wsp:val=&quot;004E24B2&quot;/&gt;&lt;wsp:rsid wsp:val=&quot;004E389E&quot;/&gt;&lt;wsp:rsid wsp:val=&quot;004F6BAB&quot;/&gt;&lt;wsp:rsid wsp:val=&quot;005024EC&quot;/&gt;&lt;wsp:rsid wsp:val=&quot;00502867&quot;/&gt;&lt;wsp:rsid wsp:val=&quot;00510691&quot;/&gt;&lt;wsp:rsid wsp:val=&quot;00515BE5&quot;/&gt;&lt;wsp:rsid wsp:val=&quot;00515CEE&quot;/&gt;&lt;wsp:rsid wsp:val=&quot;00516238&quot;/&gt;&lt;wsp:rsid wsp:val=&quot;00525C7F&quot;/&gt;&lt;wsp:rsid wsp:val=&quot;00531777&quot;/&gt;&lt;wsp:rsid wsp:val=&quot;00541442&quot;/&gt;&lt;wsp:rsid wsp:val=&quot;00542815&quot;/&gt;&lt;wsp:rsid wsp:val=&quot;00547562&quot;/&gt;&lt;wsp:rsid wsp:val=&quot;00552DF0&quot;/&gt;&lt;wsp:rsid wsp:val=&quot;00564005&quot;/&gt;&lt;wsp:rsid wsp:val=&quot;00570ABC&quot;/&gt;&lt;wsp:rsid wsp:val=&quot;00577718&quot;/&gt;&lt;wsp:rsid wsp:val=&quot;00580C8D&quot;/&gt;&lt;wsp:rsid wsp:val=&quot;005821DD&quot;/&gt;&lt;wsp:rsid wsp:val=&quot;005824F0&quot;/&gt;&lt;wsp:rsid wsp:val=&quot;00582FE2&quot;/&gt;&lt;wsp:rsid wsp:val=&quot;0058319F&quot;/&gt;&lt;wsp:rsid wsp:val=&quot;00584C15&quot;/&gt;&lt;wsp:rsid wsp:val=&quot;005940C0&quot;/&gt;&lt;wsp:rsid wsp:val=&quot;00596E58&quot;/&gt;&lt;wsp:rsid wsp:val=&quot;00597EFF&quot;/&gt;&lt;wsp:rsid wsp:val=&quot;005A104D&quot;/&gt;&lt;wsp:rsid wsp:val=&quot;005A3C78&quot;/&gt;&lt;wsp:rsid wsp:val=&quot;005B28A2&quot;/&gt;&lt;wsp:rsid wsp:val=&quot;005B4DCE&quot;/&gt;&lt;wsp:rsid wsp:val=&quot;005C2AA6&quot;/&gt;&lt;wsp:rsid wsp:val=&quot;005D0EC2&quot;/&gt;&lt;wsp:rsid wsp:val=&quot;005D18BB&quot;/&gt;&lt;wsp:rsid wsp:val=&quot;005D1E24&quot;/&gt;&lt;wsp:rsid wsp:val=&quot;005E623B&quot;/&gt;&lt;wsp:rsid wsp:val=&quot;005E741B&quot;/&gt;&lt;wsp:rsid wsp:val=&quot;005F5061&quot;/&gt;&lt;wsp:rsid wsp:val=&quot;005F5846&quot;/&gt;&lt;wsp:rsid wsp:val=&quot;005F5F9E&quot;/&gt;&lt;wsp:rsid wsp:val=&quot;005F6C1C&quot;/&gt;&lt;wsp:rsid wsp:val=&quot;005F7CDF&quot;/&gt;&lt;wsp:rsid wsp:val=&quot;005F7F42&quot;/&gt;&lt;wsp:rsid wsp:val=&quot;006014DB&quot;/&gt;&lt;wsp:rsid wsp:val=&quot;00603442&quot;/&gt;&lt;wsp:rsid wsp:val=&quot;00610E32&quot;/&gt;&lt;wsp:rsid wsp:val=&quot;00620513&quot;/&gt;&lt;wsp:rsid wsp:val=&quot;00623367&quot;/&gt;&lt;wsp:rsid wsp:val=&quot;00625041&quot;/&gt;&lt;wsp:rsid wsp:val=&quot;006358A8&quot;/&gt;&lt;wsp:rsid wsp:val=&quot;006418CA&quot;/&gt;&lt;wsp:rsid wsp:val=&quot;00642527&quot;/&gt;&lt;wsp:rsid wsp:val=&quot;00645770&quot;/&gt;&lt;wsp:rsid wsp:val=&quot;0065227A&quot;/&gt;&lt;wsp:rsid wsp:val=&quot;0067125F&quot;/&gt;&lt;wsp:rsid wsp:val=&quot;0067542F&quot;/&gt;&lt;wsp:rsid wsp:val=&quot;00681FA0&quot;/&gt;&lt;wsp:rsid wsp:val=&quot;00685606&quot;/&gt;&lt;wsp:rsid wsp:val=&quot;00692142&quot;/&gt;&lt;wsp:rsid wsp:val=&quot;00697200&quot;/&gt;&lt;wsp:rsid wsp:val=&quot;006A2A79&quot;/&gt;&lt;wsp:rsid wsp:val=&quot;006A3EA7&quot;/&gt;&lt;wsp:rsid wsp:val=&quot;006A563C&quot;/&gt;&lt;wsp:rsid wsp:val=&quot;006B3D55&quot;/&gt;&lt;wsp:rsid wsp:val=&quot;006C5847&quot;/&gt;&lt;wsp:rsid wsp:val=&quot;006C69EA&quot;/&gt;&lt;wsp:rsid wsp:val=&quot;006E0322&quot;/&gt;&lt;wsp:rsid wsp:val=&quot;006E055E&quot;/&gt;&lt;wsp:rsid wsp:val=&quot;006E073B&quot;/&gt;&lt;wsp:rsid wsp:val=&quot;006E1441&quot;/&gt;&lt;wsp:rsid wsp:val=&quot;006E60A6&quot;/&gt;&lt;wsp:rsid wsp:val=&quot;006F21AA&quot;/&gt;&lt;wsp:rsid wsp:val=&quot;006F3D48&quot;/&gt;&lt;wsp:rsid wsp:val=&quot;00705339&quot;/&gt;&lt;wsp:rsid wsp:val=&quot;007428AE&quot;/&gt;&lt;wsp:rsid wsp:val=&quot;00750B78&quot;/&gt;&lt;wsp:rsid wsp:val=&quot;0076003E&quot;/&gt;&lt;wsp:rsid wsp:val=&quot;00760D65&quot;/&gt;&lt;wsp:rsid wsp:val=&quot;00765CF0&quot;/&gt;&lt;wsp:rsid wsp:val=&quot;00781896&quot;/&gt;&lt;wsp:rsid wsp:val=&quot;00786DAC&quot;/&gt;&lt;wsp:rsid wsp:val=&quot;00787C80&quot;/&gt;&lt;wsp:rsid wsp:val=&quot;00792468&quot;/&gt;&lt;wsp:rsid wsp:val=&quot;00794F26&quot;/&gt;&lt;wsp:rsid wsp:val=&quot;007A78D1&quot;/&gt;&lt;wsp:rsid wsp:val=&quot;007B7385&quot;/&gt;&lt;wsp:rsid wsp:val=&quot;007C0BCB&quot;/&gt;&lt;wsp:rsid wsp:val=&quot;007C1212&quot;/&gt;&lt;wsp:rsid wsp:val=&quot;007C2B43&quot;/&gt;&lt;wsp:rsid wsp:val=&quot;007C4522&quot;/&gt;&lt;wsp:rsid wsp:val=&quot;007D54CF&quot;/&gt;&lt;wsp:rsid wsp:val=&quot;007D73CA&quot;/&gt;&lt;wsp:rsid wsp:val=&quot;007E369A&quot;/&gt;&lt;wsp:rsid wsp:val=&quot;007F1DF7&quot;/&gt;&lt;wsp:rsid wsp:val=&quot;007F5F67&quot;/&gt;&lt;wsp:rsid wsp:val=&quot;007F7255&quot;/&gt;&lt;wsp:rsid wsp:val=&quot;00811A1B&quot;/&gt;&lt;wsp:rsid wsp:val=&quot;008179F4&quot;/&gt;&lt;wsp:rsid wsp:val=&quot;008218E3&quot;/&gt;&lt;wsp:rsid wsp:val=&quot;008220AF&quot;/&gt;&lt;wsp:rsid wsp:val=&quot;0082502D&quot;/&gt;&lt;wsp:rsid wsp:val=&quot;00826481&quot;/&gt;&lt;wsp:rsid wsp:val=&quot;00827703&quot;/&gt;&lt;wsp:rsid wsp:val=&quot;00827D39&quot;/&gt;&lt;wsp:rsid wsp:val=&quot;008342B7&quot;/&gt;&lt;wsp:rsid wsp:val=&quot;008346E7&quot;/&gt;&lt;wsp:rsid wsp:val=&quot;00834E7B&quot;/&gt;&lt;wsp:rsid wsp:val=&quot;00841497&quot;/&gt;&lt;wsp:rsid wsp:val=&quot;00843268&quot;/&gt;&lt;wsp:rsid wsp:val=&quot;00843B33&quot;/&gt;&lt;wsp:rsid wsp:val=&quot;00847DE2&quot;/&gt;&lt;wsp:rsid wsp:val=&quot;00851731&quot;/&gt;&lt;wsp:rsid wsp:val=&quot;00851D2F&quot;/&gt;&lt;wsp:rsid wsp:val=&quot;00851F86&quot;/&gt;&lt;wsp:rsid wsp:val=&quot;0085440B&quot;/&gt;&lt;wsp:rsid wsp:val=&quot;00855EAE&quot;/&gt;&lt;wsp:rsid wsp:val=&quot;0085640F&quot;/&gt;&lt;wsp:rsid wsp:val=&quot;008606CB&quot;/&gt;&lt;wsp:rsid wsp:val=&quot;008614C1&quot;/&gt;&lt;wsp:rsid wsp:val=&quot;008626B4&quot;/&gt;&lt;wsp:rsid wsp:val=&quot;00863F1D&quot;/&gt;&lt;wsp:rsid wsp:val=&quot;008750BF&quot;/&gt;&lt;wsp:rsid wsp:val=&quot;008828F7&quot;/&gt;&lt;wsp:rsid wsp:val=&quot;00884886&quot;/&gt;&lt;wsp:rsid wsp:val=&quot;008939C1&quot;/&gt;&lt;wsp:rsid wsp:val=&quot;008A0782&quot;/&gt;&lt;wsp:rsid wsp:val=&quot;008A70A2&quot;/&gt;&lt;wsp:rsid wsp:val=&quot;008B051B&quot;/&gt;&lt;wsp:rsid wsp:val=&quot;008B1DB9&quot;/&gt;&lt;wsp:rsid wsp:val=&quot;008C0CF2&quot;/&gt;&lt;wsp:rsid wsp:val=&quot;008C217E&quot;/&gt;&lt;wsp:rsid wsp:val=&quot;008C689F&quot;/&gt;&lt;wsp:rsid wsp:val=&quot;008C7A4E&quot;/&gt;&lt;wsp:rsid wsp:val=&quot;008D77C0&quot;/&gt;&lt;wsp:rsid wsp:val=&quot;008E131C&quot;/&gt;&lt;wsp:rsid wsp:val=&quot;008E7E04&quot;/&gt;&lt;wsp:rsid wsp:val=&quot;008F1649&quot;/&gt;&lt;wsp:rsid wsp:val=&quot;008F248B&quot;/&gt;&lt;wsp:rsid wsp:val=&quot;008F4964&quot;/&gt;&lt;wsp:rsid wsp:val=&quot;008F62CB&quot;/&gt;&lt;wsp:rsid wsp:val=&quot;0090235B&quot;/&gt;&lt;wsp:rsid wsp:val=&quot;0091077D&quot;/&gt;&lt;wsp:rsid wsp:val=&quot;00911B2B&quot;/&gt;&lt;wsp:rsid wsp:val=&quot;00914611&quot;/&gt;&lt;wsp:rsid wsp:val=&quot;009151FC&quot;/&gt;&lt;wsp:rsid wsp:val=&quot;009202A0&quot;/&gt;&lt;wsp:rsid wsp:val=&quot;00922D03&quot;/&gt;&lt;wsp:rsid wsp:val=&quot;0092639D&quot;/&gt;&lt;wsp:rsid wsp:val=&quot;00927F04&quot;/&gt;&lt;wsp:rsid wsp:val=&quot;00937316&quot;/&gt;&lt;wsp:rsid wsp:val=&quot;00937D79&quot;/&gt;&lt;wsp:rsid wsp:val=&quot;00940E34&quot;/&gt;&lt;wsp:rsid wsp:val=&quot;00943646&quot;/&gt;&lt;wsp:rsid wsp:val=&quot;00943B08&quot;/&gt;&lt;wsp:rsid wsp:val=&quot;009442F2&quot;/&gt;&lt;wsp:rsid wsp:val=&quot;00956694&quot;/&gt;&lt;wsp:rsid wsp:val=&quot;0095786D&quot;/&gt;&lt;wsp:rsid wsp:val=&quot;0096267B&quot;/&gt;&lt;wsp:rsid wsp:val=&quot;00964B55&quot;/&gt;&lt;wsp:rsid wsp:val=&quot;00967ACA&quot;/&gt;&lt;wsp:rsid wsp:val=&quot;00970810&quot;/&gt;&lt;wsp:rsid wsp:val=&quot;00974237&quot;/&gt;&lt;wsp:rsid wsp:val=&quot;00977664&quot;/&gt;&lt;wsp:rsid wsp:val=&quot;00982D70&quot;/&gt;&lt;wsp:rsid wsp:val=&quot;00991C9B&quot;/&gt;&lt;wsp:rsid wsp:val=&quot;00994A0D&quot;/&gt;&lt;wsp:rsid wsp:val=&quot;009A2208&quot;/&gt;&lt;wsp:rsid wsp:val=&quot;009A6117&quot;/&gt;&lt;wsp:rsid wsp:val=&quot;009B3556&quot;/&gt;&lt;wsp:rsid wsp:val=&quot;009B7415&quot;/&gt;&lt;wsp:rsid wsp:val=&quot;009C38F2&quot;/&gt;&lt;wsp:rsid wsp:val=&quot;009D2B70&quot;/&gt;&lt;wsp:rsid wsp:val=&quot;009E4301&quot;/&gt;&lt;wsp:rsid wsp:val=&quot;009F02AB&quot;/&gt;&lt;wsp:rsid wsp:val=&quot;009F6E1E&quot;/&gt;&lt;wsp:rsid wsp:val=&quot;009F6F40&quot;/&gt;&lt;wsp:rsid wsp:val=&quot;00A009E2&quot;/&gt;&lt;wsp:rsid wsp:val=&quot;00A02252&quot;/&gt;&lt;wsp:rsid wsp:val=&quot;00A0554B&quot;/&gt;&lt;wsp:rsid wsp:val=&quot;00A05710&quot;/&gt;&lt;wsp:rsid wsp:val=&quot;00A0728F&quot;/&gt;&lt;wsp:rsid wsp:val=&quot;00A136B5&quot;/&gt;&lt;wsp:rsid wsp:val=&quot;00A211AF&quot;/&gt;&lt;wsp:rsid wsp:val=&quot;00A217D0&quot;/&gt;&lt;wsp:rsid wsp:val=&quot;00A220BA&quot;/&gt;&lt;wsp:rsid wsp:val=&quot;00A262B6&quot;/&gt;&lt;wsp:rsid wsp:val=&quot;00A41D6E&quot;/&gt;&lt;wsp:rsid wsp:val=&quot;00A51097&quot;/&gt;&lt;wsp:rsid wsp:val=&quot;00A565DD&quot;/&gt;&lt;wsp:rsid wsp:val=&quot;00A6649D&quot;/&gt;&lt;wsp:rsid wsp:val=&quot;00A669F2&quot;/&gt;&lt;wsp:rsid wsp:val=&quot;00A71E9D&quot;/&gt;&lt;wsp:rsid wsp:val=&quot;00A83B95&quot;/&gt;&lt;wsp:rsid wsp:val=&quot;00A8437B&quot;/&gt;&lt;wsp:rsid wsp:val=&quot;00A85FE0&quot;/&gt;&lt;wsp:rsid wsp:val=&quot;00AA730E&quot;/&gt;&lt;wsp:rsid wsp:val=&quot;00AC1A39&quot;/&gt;&lt;wsp:rsid wsp:val=&quot;00AC43FC&quot;/&gt;&lt;wsp:rsid wsp:val=&quot;00AC4844&quot;/&gt;&lt;wsp:rsid wsp:val=&quot;00AC4C57&quot;/&gt;&lt;wsp:rsid wsp:val=&quot;00AC60C2&quot;/&gt;&lt;wsp:rsid wsp:val=&quot;00AC6AD3&quot;/&gt;&lt;wsp:rsid wsp:val=&quot;00AD35F6&quot;/&gt;&lt;wsp:rsid wsp:val=&quot;00AD37D3&quot;/&gt;&lt;wsp:rsid wsp:val=&quot;00AD784A&quot;/&gt;&lt;wsp:rsid wsp:val=&quot;00AF1E74&quot;/&gt;&lt;wsp:rsid wsp:val=&quot;00AF6286&quot;/&gt;&lt;wsp:rsid wsp:val=&quot;00B044C0&quot;/&gt;&lt;wsp:rsid wsp:val=&quot;00B0514F&quot;/&gt;&lt;wsp:rsid wsp:val=&quot;00B06838&quot;/&gt;&lt;wsp:rsid wsp:val=&quot;00B21281&quot;/&gt;&lt;wsp:rsid wsp:val=&quot;00B240E2&quot;/&gt;&lt;wsp:rsid wsp:val=&quot;00B27B11&quot;/&gt;&lt;wsp:rsid wsp:val=&quot;00B31A99&quot;/&gt;&lt;wsp:rsid wsp:val=&quot;00B34AB9&quot;/&gt;&lt;wsp:rsid wsp:val=&quot;00B36CB1&quot;/&gt;&lt;wsp:rsid wsp:val=&quot;00B81E22&quot;/&gt;&lt;wsp:rsid wsp:val=&quot;00B853BA&quot;/&gt;&lt;wsp:rsid wsp:val=&quot;00B942FB&quot;/&gt;&lt;wsp:rsid wsp:val=&quot;00BA4F47&quot;/&gt;&lt;wsp:rsid wsp:val=&quot;00BA61C1&quot;/&gt;&lt;wsp:rsid wsp:val=&quot;00BC1FCB&quot;/&gt;&lt;wsp:rsid wsp:val=&quot;00BD098C&quot;/&gt;&lt;wsp:rsid wsp:val=&quot;00BD1C1A&quot;/&gt;&lt;wsp:rsid wsp:val=&quot;00BD2C73&quot;/&gt;&lt;wsp:rsid wsp:val=&quot;00BD40CC&quot;/&gt;&lt;wsp:rsid wsp:val=&quot;00BF01C8&quot;/&gt;&lt;wsp:rsid wsp:val=&quot;00BF0DB9&quot;/&gt;&lt;wsp:rsid wsp:val=&quot;00BF6BF7&quot;/&gt;&lt;wsp:rsid wsp:val=&quot;00C002F4&quot;/&gt;&lt;wsp:rsid wsp:val=&quot;00C132C3&quot;/&gt;&lt;wsp:rsid wsp:val=&quot;00C156F7&quot;/&gt;&lt;wsp:rsid wsp:val=&quot;00C24ACF&quot;/&gt;&lt;wsp:rsid wsp:val=&quot;00C30886&quot;/&gt;&lt;wsp:rsid wsp:val=&quot;00C30C1B&quot;/&gt;&lt;wsp:rsid wsp:val=&quot;00C31E86&quot;/&gt;&lt;wsp:rsid wsp:val=&quot;00C335A5&quot;/&gt;&lt;wsp:rsid wsp:val=&quot;00C33752&quot;/&gt;&lt;wsp:rsid wsp:val=&quot;00C371BF&quot;/&gt;&lt;wsp:rsid wsp:val=&quot;00C408E1&quot;/&gt;&lt;wsp:rsid wsp:val=&quot;00C4448E&quot;/&gt;&lt;wsp:rsid wsp:val=&quot;00C44656&quot;/&gt;&lt;wsp:rsid wsp:val=&quot;00C47D0A&quot;/&gt;&lt;wsp:rsid wsp:val=&quot;00C47EA6&quot;/&gt;&lt;wsp:rsid wsp:val=&quot;00C52AB0&quot;/&gt;&lt;wsp:rsid wsp:val=&quot;00C54949&quot;/&gt;&lt;wsp:rsid wsp:val=&quot;00C56158&quot;/&gt;&lt;wsp:rsid wsp:val=&quot;00C575F6&quot;/&gt;&lt;wsp:rsid wsp:val=&quot;00C605BC&quot;/&gt;&lt;wsp:rsid wsp:val=&quot;00C80A38&quot;/&gt;&lt;wsp:rsid wsp:val=&quot;00C817DC&quot;/&gt;&lt;wsp:rsid wsp:val=&quot;00C846AF&quot;/&gt;&lt;wsp:rsid wsp:val=&quot;00C947A9&quot;/&gt;&lt;wsp:rsid wsp:val=&quot;00CA42A5&quot;/&gt;&lt;wsp:rsid wsp:val=&quot;00CB3255&quot;/&gt;&lt;wsp:rsid wsp:val=&quot;00CC1EF3&quot;/&gt;&lt;wsp:rsid wsp:val=&quot;00CC664B&quot;/&gt;&lt;wsp:rsid wsp:val=&quot;00CD0F3E&quot;/&gt;&lt;wsp:rsid wsp:val=&quot;00CD54C5&quot;/&gt;&lt;wsp:rsid wsp:val=&quot;00CD6A8D&quot;/&gt;&lt;wsp:rsid wsp:val=&quot;00CE5BAB&quot;/&gt;&lt;wsp:rsid wsp:val=&quot;00CE7925&quot;/&gt;&lt;wsp:rsid wsp:val=&quot;00CF7062&quot;/&gt;&lt;wsp:rsid wsp:val=&quot;00D027B6&quot;/&gt;&lt;wsp:rsid wsp:val=&quot;00D04C83&quot;/&gt;&lt;wsp:rsid wsp:val=&quot;00D16F16&quot;/&gt;&lt;wsp:rsid wsp:val=&quot;00D21040&quot;/&gt;&lt;wsp:rsid wsp:val=&quot;00D2373F&quot;/&gt;&lt;wsp:rsid wsp:val=&quot;00D242C9&quot;/&gt;&lt;wsp:rsid wsp:val=&quot;00D3353E&quot;/&gt;&lt;wsp:rsid wsp:val=&quot;00D43F84&quot;/&gt;&lt;wsp:rsid wsp:val=&quot;00D5757B&quot;/&gt;&lt;wsp:rsid wsp:val=&quot;00D62D33&quot;/&gt;&lt;wsp:rsid wsp:val=&quot;00D63E3C&quot;/&gt;&lt;wsp:rsid wsp:val=&quot;00D74C6C&quot;/&gt;&lt;wsp:rsid wsp:val=&quot;00DA1162&quot;/&gt;&lt;wsp:rsid wsp:val=&quot;00DA4E55&quot;/&gt;&lt;wsp:rsid wsp:val=&quot;00DA507B&quot;/&gt;&lt;wsp:rsid wsp:val=&quot;00DA63AB&quot;/&gt;&lt;wsp:rsid wsp:val=&quot;00DA7BF2&quot;/&gt;&lt;wsp:rsid wsp:val=&quot;00DA7D36&quot;/&gt;&lt;wsp:rsid wsp:val=&quot;00DB2EF6&quot;/&gt;&lt;wsp:rsid wsp:val=&quot;00DB39A9&quot;/&gt;&lt;wsp:rsid wsp:val=&quot;00DB72C6&quot;/&gt;&lt;wsp:rsid wsp:val=&quot;00DC0A39&quot;/&gt;&lt;wsp:rsid wsp:val=&quot;00DC39FB&quot;/&gt;&lt;wsp:rsid wsp:val=&quot;00DC6D97&quot;/&gt;&lt;wsp:rsid wsp:val=&quot;00DD2A65&quot;/&gt;&lt;wsp:rsid wsp:val=&quot;00DD3DB9&quot;/&gt;&lt;wsp:rsid wsp:val=&quot;00DE1785&quot;/&gt;&lt;wsp:rsid wsp:val=&quot;00DE4084&quot;/&gt;&lt;wsp:rsid wsp:val=&quot;00DE4677&quot;/&gt;&lt;wsp:rsid wsp:val=&quot;00DE642E&quot;/&gt;&lt;wsp:rsid wsp:val=&quot;00DE78B2&quot;/&gt;&lt;wsp:rsid wsp:val=&quot;00DF0EC8&quot;/&gt;&lt;wsp:rsid wsp:val=&quot;00DF1FEA&quot;/&gt;&lt;wsp:rsid wsp:val=&quot;00DF362F&quot;/&gt;&lt;wsp:rsid wsp:val=&quot;00E01709&quot;/&gt;&lt;wsp:rsid wsp:val=&quot;00E03A2C&quot;/&gt;&lt;wsp:rsid wsp:val=&quot;00E07F97&quot;/&gt;&lt;wsp:rsid wsp:val=&quot;00E10568&quot;/&gt;&lt;wsp:rsid wsp:val=&quot;00E15921&quot;/&gt;&lt;wsp:rsid wsp:val=&quot;00E17A9F&quot;/&gt;&lt;wsp:rsid wsp:val=&quot;00E25494&quot;/&gt;&lt;wsp:rsid wsp:val=&quot;00E27174&quot;/&gt;&lt;wsp:rsid wsp:val=&quot;00E34037&quot;/&gt;&lt;wsp:rsid wsp:val=&quot;00E34FD9&quot;/&gt;&lt;wsp:rsid wsp:val=&quot;00E425F1&quot;/&gt;&lt;wsp:rsid wsp:val=&quot;00E429AD&quot;/&gt;&lt;wsp:rsid wsp:val=&quot;00E46C3E&quot;/&gt;&lt;wsp:rsid wsp:val=&quot;00E529E1&quot;/&gt;&lt;wsp:rsid wsp:val=&quot;00E663D0&quot;/&gt;&lt;wsp:rsid wsp:val=&quot;00E6775B&quot;/&gt;&lt;wsp:rsid wsp:val=&quot;00E72E68&quot;/&gt;&lt;wsp:rsid wsp:val=&quot;00E738BD&quot;/&gt;&lt;wsp:rsid wsp:val=&quot;00E76EC8&quot;/&gt;&lt;wsp:rsid wsp:val=&quot;00E77D65&quot;/&gt;&lt;wsp:rsid wsp:val=&quot;00E87013&quot;/&gt;&lt;wsp:rsid wsp:val=&quot;00E9319C&quot;/&gt;&lt;wsp:rsid wsp:val=&quot;00EA4E90&quot;/&gt;&lt;wsp:rsid wsp:val=&quot;00EA54E8&quot;/&gt;&lt;wsp:rsid wsp:val=&quot;00EA7483&quot;/&gt;&lt;wsp:rsid wsp:val=&quot;00EB6F84&quot;/&gt;&lt;wsp:rsid wsp:val=&quot;00EC171C&quot;/&gt;&lt;wsp:rsid wsp:val=&quot;00EC1D3C&quot;/&gt;&lt;wsp:rsid wsp:val=&quot;00EC79B4&quot;/&gt;&lt;wsp:rsid wsp:val=&quot;00ED2DDD&quot;/&gt;&lt;wsp:rsid wsp:val=&quot;00EE21AC&quot;/&gt;&lt;wsp:rsid wsp:val=&quot;00EE5A0C&quot;/&gt;&lt;wsp:rsid wsp:val=&quot;00EE604B&quot;/&gt;&lt;wsp:rsid wsp:val=&quot;00EF1DF7&quot;/&gt;&lt;wsp:rsid wsp:val=&quot;00EF6746&quot;/&gt;&lt;wsp:rsid wsp:val=&quot;00F04442&quot;/&gt;&lt;wsp:rsid wsp:val=&quot;00F10047&quot;/&gt;&lt;wsp:rsid wsp:val=&quot;00F10E7A&quot;/&gt;&lt;wsp:rsid wsp:val=&quot;00F15389&quot;/&gt;&lt;wsp:rsid wsp:val=&quot;00F208A8&quot;/&gt;&lt;wsp:rsid wsp:val=&quot;00F22A44&quot;/&gt;&lt;wsp:rsid wsp:val=&quot;00F31E89&quot;/&gt;&lt;wsp:rsid wsp:val=&quot;00F340D1&quot;/&gt;&lt;wsp:rsid wsp:val=&quot;00F400C1&quot;/&gt;&lt;wsp:rsid wsp:val=&quot;00F41632&quot;/&gt;&lt;wsp:rsid wsp:val=&quot;00F43265&quot;/&gt;&lt;wsp:rsid wsp:val=&quot;00F4441C&quot;/&gt;&lt;wsp:rsid wsp:val=&quot;00F622DA&quot;/&gt;&lt;wsp:rsid wsp:val=&quot;00F64FA0&quot;/&gt;&lt;wsp:rsid wsp:val=&quot;00F77E59&quot;/&gt;&lt;wsp:rsid wsp:val=&quot;00F853C0&quot;/&gt;&lt;wsp:rsid wsp:val=&quot;00F94D09&quot;/&gt;&lt;wsp:rsid wsp:val=&quot;00FA31CB&quot;/&gt;&lt;wsp:rsid wsp:val=&quot;00FA6FD1&quot;/&gt;&lt;wsp:rsid wsp:val=&quot;00FB0E3C&quot;/&gt;&lt;wsp:rsid wsp:val=&quot;00FC0ED8&quot;/&gt;&lt;wsp:rsid wsp:val=&quot;00FC5BD5&quot;/&gt;&lt;wsp:rsid wsp:val=&quot;00FC7AEE&quot;/&gt;&lt;wsp:rsid wsp:val=&quot;00FD0D0D&quot;/&gt;&lt;wsp:rsid wsp:val=&quot;00FD3242&quot;/&gt;&lt;wsp:rsid wsp:val=&quot;00FD60FD&quot;/&gt;&lt;wsp:rsid wsp:val=&quot;00FF169D&quot;/&gt;&lt;wsp:rsid wsp:val=&quot;00FF5335&quot;/&gt;&lt;wsp:rsid wsp:val=&quot;05DC552B&quot;/&gt;&lt;wsp:rsid wsp:val=&quot;07ED11D9&quot;/&gt;&lt;wsp:rsid wsp:val=&quot;07FD0B9C&quot;/&gt;&lt;wsp:rsid wsp:val=&quot;0AC4629B&quot;/&gt;&lt;wsp:rsid wsp:val=&quot;0D335BB9&quot;/&gt;&lt;wsp:rsid wsp:val=&quot;0E694387&quot;/&gt;&lt;wsp:rsid wsp:val=&quot;117B3533&quot;/&gt;&lt;wsp:rsid wsp:val=&quot;13E03AFB&quot;/&gt;&lt;wsp:rsid wsp:val=&quot;195B3A8A&quot;/&gt;&lt;wsp:rsid wsp:val=&quot;1CA30C11&quot;/&gt;&lt;wsp:rsid wsp:val=&quot;1CCD7B2A&quot;/&gt;&lt;wsp:rsid wsp:val=&quot;1D0D3BB9&quot;/&gt;&lt;wsp:rsid wsp:val=&quot;1DCA04CD&quot;/&gt;&lt;wsp:rsid wsp:val=&quot;200B2F69&quot;/&gt;&lt;wsp:rsid wsp:val=&quot;24053836&quot;/&gt;&lt;wsp:rsid wsp:val=&quot;27E25319&quot;/&gt;&lt;wsp:rsid wsp:val=&quot;2A5C47CE&quot;/&gt;&lt;wsp:rsid wsp:val=&quot;2D2F2B67&quot;/&gt;&lt;wsp:rsid wsp:val=&quot;2F454B1C&quot;/&gt;&lt;wsp:rsid wsp:val=&quot;2FDC7EC5&quot;/&gt;&lt;wsp:rsid wsp:val=&quot;327B7812&quot;/&gt;&lt;wsp:rsid wsp:val=&quot;336156FD&quot;/&gt;&lt;wsp:rsid wsp:val=&quot;33ED0381&quot;/&gt;&lt;wsp:rsid wsp:val=&quot;34523EA6&quot;/&gt;&lt;wsp:rsid wsp:val=&quot;345A7665&quot;/&gt;&lt;wsp:rsid wsp:val=&quot;346357C3&quot;/&gt;&lt;wsp:rsid wsp:val=&quot;383E264C&quot;/&gt;&lt;wsp:rsid wsp:val=&quot;3BAE0D76&quot;/&gt;&lt;wsp:rsid wsp:val=&quot;3CF00D1D&quot;/&gt;&lt;wsp:rsid wsp:val=&quot;3F536D00&quot;/&gt;&lt;wsp:rsid wsp:val=&quot;3F9663B3&quot;/&gt;&lt;wsp:rsid wsp:val=&quot;40423202&quot;/&gt;&lt;wsp:rsid wsp:val=&quot;41580108&quot;/&gt;&lt;wsp:rsid wsp:val=&quot;41810B10&quot;/&gt;&lt;wsp:rsid wsp:val=&quot;42ED4D2A&quot;/&gt;&lt;wsp:rsid wsp:val=&quot;43084E23&quot;/&gt;&lt;wsp:rsid wsp:val=&quot;43EA5695&quot;/&gt;&lt;wsp:rsid wsp:val=&quot;46C15811&quot;/&gt;&lt;wsp:rsid wsp:val=&quot;47114F5F&quot;/&gt;&lt;wsp:rsid wsp:val=&quot;492027FC&quot;/&gt;&lt;wsp:rsid wsp:val=&quot;4D2D339A&quot;/&gt;&lt;wsp:rsid wsp:val=&quot;50466E0D&quot;/&gt;&lt;wsp:rsid wsp:val=&quot;508F4FFC&quot;/&gt;&lt;wsp:rsid wsp:val=&quot;537E5E22&quot;/&gt;&lt;wsp:rsid wsp:val=&quot;58C60B9E&quot;/&gt;&lt;wsp:rsid wsp:val=&quot;59D339BE&quot;/&gt;&lt;wsp:rsid wsp:val=&quot;5A0B7CE5&quot;/&gt;&lt;wsp:rsid wsp:val=&quot;5D242FA7&quot;/&gt;&lt;wsp:rsid wsp:val=&quot;5E026BB3&quot;/&gt;&lt;wsp:rsid wsp:val=&quot;5F1D2DDD&quot;/&gt;&lt;wsp:rsid wsp:val=&quot;63372798&quot;/&gt;&lt;wsp:rsid wsp:val=&quot;638D20C0&quot;/&gt;&lt;wsp:rsid wsp:val=&quot;678E4297&quot;/&gt;&lt;wsp:rsid wsp:val=&quot;68D64884&quot;/&gt;&lt;wsp:rsid wsp:val=&quot;68EC4DFB&quot;/&gt;&lt;wsp:rsid wsp:val=&quot;6C120794&quot;/&gt;&lt;wsp:rsid wsp:val=&quot;6EEE6BB0&quot;/&gt;&lt;wsp:rsid wsp:val=&quot;6FF56DE8&quot;/&gt;&lt;wsp:rsid wsp:val=&quot;704877F5&quot;/&gt;&lt;wsp:rsid wsp:val=&quot;746E4C8E&quot;/&gt;&lt;wsp:rsid wsp:val=&quot;76446ABD&quot;/&gt;&lt;wsp:rsid wsp:val=&quot;78A529DD&quot;/&gt;&lt;wsp:rsid wsp:val=&quot;797DDCC6&quot;/&gt;&lt;wsp:rsid wsp:val=&quot;79C62419&quot;/&gt;&lt;wsp:rsid wsp:val=&quot;79F03A81&quot;/&gt;&lt;wsp:rsid wsp:val=&quot;7A465F70&quot;/&gt;&lt;wsp:rsid wsp:val=&quot;7C7572E5&quot;/&gt;&lt;wsp:rsid wsp:val=&quot;7E4014B7&quot;/&gt;&lt;wsp:rsid wsp:val=&quot;7E5FD821&quot;/&gt;&lt;/wsp:rsids&gt;&lt;/w:docPr&gt;&lt;w:body&gt;&lt;wx:sect&gt;&lt;w:p wsp:rsidR=&quot;00000000&quot; wsp:rsidRDefault=&quot;00AD35F6&quot; wsp:rsidP=&quot;00AD35F6&quot;&gt;&lt;m:oMathPara&gt;&lt;m:oMath&gt;&lt;m:r&gt;&lt;w:rPr&gt;&lt;w:rFonts w:ascii=&quot;Cambria Math&quot; w:h-ansi=&quot;Cambria Math&quot; w:cs=&quot;SSJ-PK748200007c4-Identity-H&quot;/&gt;&lt;wx:font wx:val=&quot;Cambria Math&quot;/&gt;&lt;w:i/&gt;&lt;/w:rPr&gt;&lt;m:t&gt;y=&lt;/m:t&gt;&lt;/m:r&gt;&lt;m:f&gt;&lt;m:fPr&gt;&lt;m:ctrlPr&gt;&lt;w:rPr&gt;&lt;w:rFonts w:ascii=&quot;Cambria Math&quot; w:h-ansi=&quot;Cambria Math&quot; w:cs=&quot;SSJ-PK748200007c4-Identity-H&quot;/&gt;&lt;wx:font wx:val=&quot;Cambria Math&quot;/&gt;&lt;w:i/&gt;&lt;/w:rPr&gt;&lt;/m:ctrlPr&gt;&lt;/m:fPr&gt;&lt;m:num&gt;&lt;m:sSub&gt;&lt;m:sSubPr&gt;&lt;m:ctrlPr&gt;&lt;w:rPr&gt;&lt;w:rFonts w:ascii=&quot;Cambria Math&quot; w:h-ansi=&quot;Cambria Math&quot; w:cs=&quot;SSJ-PK748200007c4-Identity-H&quot;/&gt;&lt;wx:font wx:val=&quot;Cambria Math&quot;/&gt;&lt;w:i/&gt;&lt;/w:rPr&gt;&lt;/m:ctrlPr&gt;&lt;/m:sSubPr&gt;&lt;m:e&gt;&lt;m:r&gt;&lt;w:rPr&gt;&lt;w:rFonts w:ascii=&quot;Cambria Math&quot; w:h-ansi=&quot;Cambria Math&quot; w:cs=&quot;SSJ-PK748200007c4-Identity-H&quot;/&gt;&lt;wx:font wx:val=&quot;Cambria Math&quot;/&gt;&lt;w:i/&gt;&lt;/w:rPr&gt;&lt;m:t&gt;U&lt;/m:t&gt;&lt;/m:r&gt;&lt;/m:e&gt;&lt;m:sub&gt;&lt;m:r&gt;&lt;w:rPr&gt;&lt;w:rFonts w:ascii=&quot;Cambria Math&quot; w:h-ansi=&quot;Cambria Math&quot; w:cs=&quot;SSJ-PK748200007c4-Identity-H&quot;/&gt;&lt;wx:font wx:val=&quot;Cambria Math&quot;/&gt;&lt;w:i/&gt;&lt;/w:rPr&gt;&lt;m:t&gt;max&lt;/m:t&gt;&lt;/m:r&gt;&lt;/m:sub&gt;&lt;/m:sSub&gt;&lt;m:r&gt;&lt;w:rPr&gt;&lt;w:rFonts w:ascii=&quot;Cambria Math&quot; w:h-ansi=&quot;Cambria Math&quot; w:cs=&quot;SSJ-PK748200007c4-Identity-H&quot;/&gt;&lt;wx:font wx:val=&quot;Cambria Math&quot;/&gt;&lt;w:i/&gt;&lt;/w:rPr&gt;&lt;m:t&gt;-400[V]&lt;/m:t&gt;&lt;/m:r&gt;&lt;/m:num&gt;&lt;m:den&gt;&lt;m:r&gt;&lt;w:rPr&gt;&lt;w:rFonts w:ascii=&quot;Cambria Math&quot; w:h-ansi=&quot;Cambria Math&quot; w:cs=&quot;SSJ-PK748200007c4-Identity-H&quot;/&gt;&lt;wx:font wx:val=&quot;Cambria Math&quot;/&gt;&lt;w:i/&gt;&lt;/w:rPr&gt;&lt;m:t&gt;600[V]&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fldChar w:fldCharType="end"/>
            </w:r>
            <w:r>
              <w:t>取变量</w:t>
            </w:r>
            <w:r>
              <w:t>y</w:t>
            </w:r>
            <w:r>
              <w:t>或</w:t>
            </w:r>
            <w:r>
              <w:t>6</w:t>
            </w:r>
            <w:r>
              <w:t>中较小者。如果计算结果</w:t>
            </w:r>
            <w:r>
              <w:t>y≤</w:t>
            </w:r>
            <w:r>
              <w:t>该高频手术模式的峰值系数，应给出说明，附属设备和手术附件宜选用的额定附件电压</w:t>
            </w:r>
            <w:r>
              <w:t>≥</w:t>
            </w:r>
            <w:r>
              <w:t>最大输出电压。</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pPr>
              <w:autoSpaceDE w:val="0"/>
              <w:autoSpaceDN w:val="0"/>
              <w:jc w:val="left"/>
            </w:pPr>
            <w:r>
              <w:t>3)</w:t>
            </w:r>
            <w:r>
              <w:t>在最大输出电压（</w:t>
            </w:r>
            <w:r>
              <w:t>U</w:t>
            </w:r>
            <w:r>
              <w:rPr>
                <w:vertAlign w:val="subscript"/>
              </w:rPr>
              <w:t>max</w:t>
            </w:r>
            <w:r>
              <w:t>）＞</w:t>
            </w:r>
            <w:r>
              <w:t>1600V</w:t>
            </w:r>
            <w:r>
              <w:t>情况下，且峰值系数＜上面计算的变量</w:t>
            </w:r>
            <w:r>
              <w:t>y</w:t>
            </w:r>
            <w:r>
              <w:t>，要给予警告：</w:t>
            </w:r>
          </w:p>
          <w:p w:rsidR="00FB618C" w:rsidRDefault="00722624">
            <w:pPr>
              <w:ind w:rightChars="-1" w:right="-2"/>
            </w:pPr>
            <w:r>
              <w:t>在这种模式或设定下使用的任何附属设备和手术附件，其额定容量应能够耐受实际电压和峰值系数的组合应力。</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如果最大输出电压随输出设定而变，则应以图形给出作为输出设定函数的电压值资料。</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d)</w:t>
            </w:r>
            <w:r>
              <w:t>警告：高频手术设备的故障会引起输出功率非预期的增大。</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e)</w:t>
            </w:r>
            <w:r>
              <w:t>同专用的可监测中性电极相容性说明。</w:t>
            </w:r>
          </w:p>
          <w:p w:rsidR="00FB618C" w:rsidRDefault="00722624">
            <w:pPr>
              <w:ind w:rightChars="-1" w:right="-2"/>
            </w:pPr>
            <w:r>
              <w:t>警告：如不使用相容的可监测中性电极，在中性电极与患者之间失去安全接触时，接触质量监测器是不会产生听觉报警的。</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f)</w:t>
            </w:r>
            <w:r>
              <w:t>在预期的或可预见的使用过程中，中性电极下的温度可能超过通用标准中</w:t>
            </w:r>
            <w:r>
              <w:t>11.1.2.2</w:t>
            </w:r>
            <w:r>
              <w:t>或本文件中</w:t>
            </w:r>
            <w:r>
              <w:t>201.15.101.5</w:t>
            </w:r>
            <w:r>
              <w:t>所列限值，应提供正确使用中性电极的说明、警告和注意事项。</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g)</w:t>
            </w:r>
            <w:r>
              <w:t>针对神经肌肉刺激引起的风险的警告，特别是能在手术电极和组织之间引起电弧的模式。</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h)</w:t>
            </w:r>
            <w:r>
              <w:t>按照</w:t>
            </w:r>
            <w:r>
              <w:t>201.8.10.4.101.2</w:t>
            </w:r>
            <w:r>
              <w:t>，能被未持续激活的开关检测器激励的高频手术设备，有关风险的警告或注意事项。</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i)</w:t>
            </w:r>
            <w:r>
              <w:t>对于高频手术设备，每种连接器类型的附件及其电缆的最大允许长度。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201.7.9.2.14</w:t>
            </w:r>
            <w:r>
              <w:t>附件、附加设备、使用的材料</w:t>
            </w:r>
          </w:p>
          <w:p w:rsidR="00FB618C" w:rsidRDefault="00722624">
            <w:pPr>
              <w:autoSpaceDE w:val="0"/>
              <w:autoSpaceDN w:val="0"/>
              <w:jc w:val="left"/>
            </w:pPr>
            <w:r>
              <w:t>增补：</w:t>
            </w:r>
          </w:p>
          <w:p w:rsidR="00FB618C" w:rsidRDefault="00722624">
            <w:pPr>
              <w:autoSpaceDE w:val="0"/>
              <w:autoSpaceDN w:val="0"/>
              <w:jc w:val="left"/>
            </w:pPr>
            <w:r>
              <w:t>使用说明书应包括：</w:t>
            </w:r>
          </w:p>
          <w:p w:rsidR="00FB618C" w:rsidRDefault="00722624">
            <w:pPr>
              <w:ind w:rightChars="-1" w:right="-2"/>
            </w:pPr>
            <w:r>
              <w:t>a</w:t>
            </w:r>
            <w:r>
              <w:t>）应包含有选择和使用高频附件的资料，以防止不兼容和不安全操作（还可见</w:t>
            </w:r>
            <w:r>
              <w:t>201.15.4.101.1</w:t>
            </w:r>
            <w:r>
              <w:t>和</w:t>
            </w:r>
            <w:r>
              <w:t>201.15.4.101.2</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）应告知操作者：要防止高频输出设定使最大输出电压超过额定附件电压。</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c</w:t>
            </w:r>
            <w:r>
              <w:t>）应告知有关可监测中性电极和接触质量监测器的兼容性。</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d</w:t>
            </w:r>
            <w:r>
              <w:t>）建议操作者定期检查附件，特别是：电极电缆和高频能量内窥镜治疗设备（见</w:t>
            </w:r>
            <w:r>
              <w:t>GB9706.218</w:t>
            </w:r>
            <w:r>
              <w:t>）使用的附件要检查（例如，在放大时）其可能的损坏。</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pPr>
              <w:ind w:rightChars="-1" w:right="-2"/>
            </w:pPr>
            <w:r>
              <w:t>e</w:t>
            </w:r>
            <w:r>
              <w:t>）对于附属设备和手术附件包括单独提供的它们的零部件，要给出额定附件电压，</w:t>
            </w:r>
            <w:r>
              <w:t xml:space="preserve"> </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及仅用于高频手术模式输出设定产生的峰值输出电压不高于额定附件电压的警告。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f)</w:t>
            </w:r>
            <w:r>
              <w:t>关于中性电极有效期的包装：</w:t>
            </w:r>
          </w:p>
          <w:p w:rsidR="00FB618C" w:rsidRDefault="00722624">
            <w:pPr>
              <w:ind w:rightChars="-1" w:right="-2"/>
            </w:pPr>
            <w:r>
              <w:t>———</w:t>
            </w:r>
            <w:r>
              <w:t>如标有一次性使用，则要标上有效期；</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防止中性电极部位灼伤的必要信息，例如输出设定的限制、患者准备或启动时间；</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如仅打算用于小患者，则要标以千克（</w:t>
            </w:r>
            <w:r>
              <w:t>kg</w:t>
            </w:r>
            <w:r>
              <w:t>）数，以指明预期使用的患者最大体重。（见</w:t>
            </w:r>
            <w:r>
              <w:t>201.15.101.5</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g</w:t>
            </w:r>
            <w:r>
              <w:t>）关于使用可监测中性电极的说明：</w:t>
            </w:r>
          </w:p>
          <w:p w:rsidR="00FB618C" w:rsidRDefault="00722624">
            <w:pPr>
              <w:ind w:rightChars="-1" w:right="-2"/>
            </w:pPr>
            <w:r>
              <w:t>———</w:t>
            </w:r>
            <w:r>
              <w:t>说明其同专门的接触质量监测器的相容性。</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h</w:t>
            </w:r>
            <w:r>
              <w:t>）在预期的或可预见的使用过程中，使用中性电极时高频附件的温度可超过通用标准中</w:t>
            </w:r>
            <w:r>
              <w:t>11.1.2.2</w:t>
            </w:r>
            <w:r>
              <w:t>或本文件中</w:t>
            </w:r>
            <w:r>
              <w:t>201.15.101.5</w:t>
            </w:r>
            <w:r>
              <w:t>所列限值，应提供正确使用中性电极的说明、警告和注意事项。</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i</w:t>
            </w:r>
            <w:r>
              <w:t>）预期仅与特定的高频手术设备、高频波形或电压配合使用的高频附件的使用说明书中，提供这种影响的详细说明。</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j</w:t>
            </w:r>
            <w:r>
              <w:t>）对于手术电极和手术手柄，评估以下危险情况的信息：</w:t>
            </w:r>
          </w:p>
          <w:p w:rsidR="00FB618C" w:rsidRDefault="00722624">
            <w:pPr>
              <w:ind w:rightChars="-1" w:right="-2"/>
            </w:pPr>
            <w:r>
              <w:t>———</w:t>
            </w:r>
            <w:r>
              <w:t>手术电极杆与手术手柄连接处可见的外露金属；</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手术手柄和手术电极杆之间电气连接不良；</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手术手柄和手术电极杆之间配合不良。</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201.7.9.2.15</w:t>
            </w:r>
            <w:r>
              <w:t>环境保护</w:t>
            </w:r>
          </w:p>
          <w:p w:rsidR="00FB618C" w:rsidRDefault="00722624">
            <w:pPr>
              <w:autoSpaceDE w:val="0"/>
              <w:autoSpaceDN w:val="0"/>
              <w:jc w:val="left"/>
            </w:pPr>
            <w:r>
              <w:t>增补：</w:t>
            </w:r>
          </w:p>
          <w:p w:rsidR="00FB618C" w:rsidRDefault="00722624">
            <w:pPr>
              <w:ind w:rightChars="-1" w:right="-2"/>
            </w:pPr>
            <w:r>
              <w:t>使用说明书应向操作者提供有关适当使用烟雾抽吸的建议。</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120</w:t>
            </w:r>
          </w:p>
        </w:tc>
        <w:tc>
          <w:tcPr>
            <w:tcW w:w="1077" w:type="dxa"/>
            <w:vMerge w:val="restart"/>
          </w:tcPr>
          <w:p w:rsidR="00FB618C" w:rsidRDefault="00722624">
            <w:pPr>
              <w:ind w:left="1" w:rightChars="-1" w:right="-2" w:hanging="1"/>
            </w:pPr>
            <w:r>
              <w:t>ME</w:t>
            </w:r>
            <w:r>
              <w:t>设备标识、标记和文件</w:t>
            </w:r>
          </w:p>
        </w:tc>
        <w:tc>
          <w:tcPr>
            <w:tcW w:w="714" w:type="dxa"/>
            <w:vMerge w:val="restart"/>
          </w:tcPr>
          <w:p w:rsidR="00FB618C" w:rsidRDefault="00722624">
            <w:pPr>
              <w:jc w:val="center"/>
            </w:pPr>
            <w:r>
              <w:rPr>
                <w:lang w:bidi="zh-TW"/>
              </w:rPr>
              <w:t>201.7</w:t>
            </w:r>
          </w:p>
        </w:tc>
        <w:tc>
          <w:tcPr>
            <w:tcW w:w="4495" w:type="dxa"/>
            <w:gridSpan w:val="2"/>
          </w:tcPr>
          <w:p w:rsidR="00FB618C" w:rsidRDefault="00722624">
            <w:pPr>
              <w:autoSpaceDE w:val="0"/>
              <w:autoSpaceDN w:val="0"/>
              <w:jc w:val="left"/>
            </w:pPr>
            <w:r>
              <w:t>201.7.9.3</w:t>
            </w:r>
            <w:r>
              <w:t>技术说明书</w:t>
            </w:r>
          </w:p>
          <w:p w:rsidR="00FB618C" w:rsidRDefault="00722624">
            <w:pPr>
              <w:autoSpaceDE w:val="0"/>
              <w:autoSpaceDN w:val="0"/>
              <w:jc w:val="left"/>
            </w:pPr>
            <w:r>
              <w:t>201.7.9.3.1</w:t>
            </w:r>
            <w:r>
              <w:t>概述</w:t>
            </w:r>
          </w:p>
          <w:p w:rsidR="00FB618C" w:rsidRDefault="00722624">
            <w:pPr>
              <w:autoSpaceDE w:val="0"/>
              <w:autoSpaceDN w:val="0"/>
              <w:jc w:val="left"/>
            </w:pPr>
            <w:r>
              <w:t>增补：</w:t>
            </w:r>
          </w:p>
          <w:p w:rsidR="00FB618C" w:rsidRDefault="00722624">
            <w:pPr>
              <w:autoSpaceDE w:val="0"/>
              <w:autoSpaceDN w:val="0"/>
              <w:jc w:val="left"/>
            </w:pPr>
            <w:r>
              <w:t>——</w:t>
            </w:r>
            <w:r>
              <w:t>功率输出数据</w:t>
            </w:r>
            <w:r>
              <w:t>——</w:t>
            </w:r>
            <w:r>
              <w:t>单极输出（对于所有可用的高频手术模式，任何可调的</w:t>
            </w:r>
            <w:r>
              <w:t>“</w:t>
            </w:r>
            <w:r>
              <w:t>混切</w:t>
            </w:r>
            <w:r>
              <w:t>”</w:t>
            </w:r>
            <w:r>
              <w:t>控制器设定在最大位置）包括：</w:t>
            </w:r>
          </w:p>
          <w:p w:rsidR="00FB618C" w:rsidRDefault="00722624">
            <w:pPr>
              <w:ind w:rightChars="-1" w:right="-2"/>
            </w:pPr>
            <w:r>
              <w:t>●</w:t>
            </w:r>
            <w:r>
              <w:t>表示全输出控制设定和半输出控制设定下，在负载电阻范围至少为</w:t>
            </w:r>
            <w:r>
              <w:t>100Ω~2000Ω</w:t>
            </w:r>
            <w:r>
              <w:t>的功率输出关系图，必要时这个电阻范围应扩展以包含额定负载。</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 xml:space="preserve">　表示在上述负载范围内一个规定负载电阻上的功率输出对输出控制设定的关系图。</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w:t>
            </w:r>
            <w:r>
              <w:t>功率输出数据</w:t>
            </w:r>
            <w:r>
              <w:t>——</w:t>
            </w:r>
            <w:r>
              <w:t>双极输出（以上定义的所有高频手术模式）包括：</w:t>
            </w:r>
          </w:p>
          <w:p w:rsidR="00FB618C" w:rsidRDefault="00722624">
            <w:pPr>
              <w:ind w:rightChars="-1" w:right="-2"/>
            </w:pPr>
            <w:r>
              <w:t>●</w:t>
            </w:r>
            <w:r>
              <w:t xml:space="preserve">　表示全输出控制设定和半输出控制设定下，在负载电阻范围至少为</w:t>
            </w:r>
            <w:r>
              <w:t>10Ω~1000Ω</w:t>
            </w:r>
            <w:r>
              <w:t>的功率输出关系图，必要时这个电阻范围应扩展以包含额定负载。</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 xml:space="preserve">　表示在上述负载范围内一个规定负载电阻上的功率输出对输出控制设定的关系图。</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电压输出数据</w:t>
            </w:r>
            <w:r>
              <w:t>——</w:t>
            </w:r>
            <w:r>
              <w:t>单极和双极输出（对所有可用的高频手术模式）。按</w:t>
            </w:r>
            <w:r>
              <w:t>201.7.9.2.2.101c</w:t>
            </w:r>
            <w:r>
              <w:t>要求的最大输出电压数据。</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如果规定高频手术设备不带中性电极使用，对此应加以说明。</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如果高频手术设备或附属设备设计成只具有单一的、固定的输出设定，那么就可略去所述</w:t>
            </w:r>
            <w:r>
              <w:t>“</w:t>
            </w:r>
            <w:r>
              <w:t>半输出控制设定</w:t>
            </w:r>
            <w:r>
              <w:t>”</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w:t>
            </w:r>
            <w:r>
              <w:t>每个高频手术模式的最大输出电流。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当高频手术设备在任何大电流模式下使用时，在任意</w:t>
            </w:r>
            <w:r>
              <w:t>60s</w:t>
            </w:r>
            <w:r>
              <w:t>周期内产生的最大发热因子。</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 xml:space="preserve">201.8.4 </w:t>
            </w:r>
            <w:r>
              <w:t>电压、电流和能量的限制</w:t>
            </w:r>
          </w:p>
          <w:p w:rsidR="00FB618C" w:rsidRDefault="00722624">
            <w:pPr>
              <w:autoSpaceDE w:val="0"/>
              <w:autoSpaceDN w:val="0"/>
              <w:jc w:val="left"/>
            </w:pPr>
            <w:r>
              <w:t>增补条款：</w:t>
            </w:r>
          </w:p>
          <w:p w:rsidR="00FB618C" w:rsidRDefault="00722624">
            <w:pPr>
              <w:autoSpaceDE w:val="0"/>
              <w:autoSpaceDN w:val="0"/>
              <w:jc w:val="left"/>
            </w:pPr>
            <w:r>
              <w:t>201.8.4.101</w:t>
            </w:r>
            <w:r>
              <w:t>中性电极监测电路</w:t>
            </w:r>
          </w:p>
          <w:p w:rsidR="00FB618C" w:rsidRDefault="00722624">
            <w:pPr>
              <w:autoSpaceDE w:val="0"/>
              <w:autoSpaceDN w:val="0"/>
              <w:jc w:val="left"/>
            </w:pPr>
            <w:r>
              <w:t>具有中性电极连接点的高频手术设备应配置以下一个或多个：</w:t>
            </w:r>
          </w:p>
          <w:p w:rsidR="00FB618C" w:rsidRDefault="00722624">
            <w:pPr>
              <w:ind w:rightChars="-1" w:right="-2"/>
            </w:pPr>
            <w:r>
              <w:t>——</w:t>
            </w:r>
            <w:r>
              <w:t>连续性监测器；</w:t>
            </w:r>
            <w:r>
              <w:t xml:space="preserve"> </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接触质量监测器；</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w:t>
            </w:r>
            <w:r>
              <w:t>确保在使用中性电极时不出现不可接受的温升的一种替代方法（见</w:t>
            </w:r>
            <w:r>
              <w:t>201.15.101.5</w:t>
            </w:r>
            <w:r>
              <w:t>）。任何替代方法应被视为基本性能。</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如</w:t>
            </w:r>
            <w:r>
              <w:t>201.8.6.1</w:t>
            </w:r>
            <w:r>
              <w:t>中所述，高频手术设备不使用中性电极的情况下，这些可停用。</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当中性电极回路、它的连接器、或替代方法发生故障时，应配置这些使单极输出停激并发出可听报警。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可听报警应满足</w:t>
            </w:r>
            <w:r>
              <w:t>201.12.4.2.101</w:t>
            </w:r>
            <w:r>
              <w:t>的声级要求并且不应在外部调节。</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使用不可监测中性电极时，接触质量监测器可停用。该选择应明显地指示给操作者。</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在这种情况下，采用连续性监测器或一种替代方法以保证在使用中性电极时不出现不可接受的温升的要求应仍然适用。</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监测电路应由与网电源部分和地相隔离的且电压不超过</w:t>
            </w:r>
            <w:r>
              <w:t>12V</w:t>
            </w:r>
            <w:r>
              <w:t>的电源供电。接触质量监测器的监测电流的限值已在</w:t>
            </w:r>
            <w:r>
              <w:t>201.8.7.3</w:t>
            </w:r>
            <w:r>
              <w:t>中规定。</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应提供一个由红色指示灯构成的附加可见报警（见</w:t>
            </w:r>
            <w:r>
              <w:t>201.7.8.1</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将高频手术设备接入图</w:t>
            </w:r>
            <w:r>
              <w:t>201.103</w:t>
            </w:r>
            <w:r>
              <w:t>所示电路，在各种工作模式最大输出控制设定下运行，来检验连续性监测器是否符合要求。图中开关闭合和打开各</w:t>
            </w:r>
            <w:r>
              <w:rPr>
                <w:rFonts w:hint="eastAsia"/>
              </w:rPr>
              <w:t>5</w:t>
            </w:r>
            <w:r>
              <w:t>次，开关每次打开时，高频输出应被禁止且发出报警声响。</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4584"/>
          <w:jc w:val="center"/>
        </w:trPr>
        <w:tc>
          <w:tcPr>
            <w:tcW w:w="9879" w:type="dxa"/>
            <w:gridSpan w:val="8"/>
          </w:tcPr>
          <w:p w:rsidR="00FB618C" w:rsidRDefault="00722624">
            <w:pPr>
              <w:jc w:val="center"/>
            </w:pPr>
            <w:r>
              <w:rPr>
                <w:rFonts w:hint="eastAsia"/>
              </w:rPr>
              <w:t>此处空白</w:t>
            </w: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接触质量监测器符合性试验：接通高频手术设备的网电源，并设置其控制器于单极工作模式，但不应启动。然后按</w:t>
            </w:r>
            <w:r>
              <w:t>201.7.9.2.2.101 e)</w:t>
            </w:r>
            <w:r>
              <w:t>的建议选择一个合适的可监测中性电极连接到接触质量监测器的中性电极连接器上。</w:t>
            </w:r>
          </w:p>
          <w:p w:rsidR="00FB618C" w:rsidRDefault="00722624">
            <w:pPr>
              <w:ind w:rightChars="-1" w:right="-2"/>
            </w:pPr>
            <w:r>
              <w:t>再按使用说明书所述方法放置中性电极，使之完全同人体目标或合适代用品表面接触，接触质量监测器如说明书规定进行设置，然后启动高频手术设备的一个单极高频手术模式，此时应无报警声，且有高频输出；让高频手术设备处于启动状态，逐渐减少中性电极和人体目标或合适代用品表面之间的接触</w:t>
            </w:r>
            <w:r>
              <w:t xml:space="preserve"> </w:t>
            </w:r>
            <w:r>
              <w:t>面积直到中性电极出现报警。应记下剩余的接触面积（报警面积）</w:t>
            </w:r>
            <w:r>
              <w:t>A</w:t>
            </w:r>
            <w:r>
              <w:t>，以便接下来按</w:t>
            </w:r>
            <w:r>
              <w:t>201.15.101.5</w:t>
            </w:r>
            <w:r>
              <w:t>进行</w:t>
            </w:r>
            <w:r>
              <w:t xml:space="preserve"> </w:t>
            </w:r>
            <w:r>
              <w:t>温升试验，并且当尝试启动时应无高频输出产生。</w:t>
            </w:r>
            <w:r>
              <w:t xml:space="preserve"> </w:t>
            </w:r>
            <w:r>
              <w:t>用至少三只合适的可监测中性电极样品在两个轴向上重复这个试验。</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通过评审制造商的文件和风险管理文档来检验替代方法的符合性，以确保使用中性电极时不出现不可接受的温升。</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201.8.4.102</w:t>
            </w:r>
            <w:r>
              <w:t>神经肌肉刺激</w:t>
            </w:r>
          </w:p>
          <w:p w:rsidR="00FB618C" w:rsidRDefault="00722624">
            <w:pPr>
              <w:ind w:rightChars="-1" w:right="-2"/>
            </w:pPr>
            <w:r>
              <w:t>为了使神经肌肉刺激的可能性降到最低程度，患者电路中应装入电容，使之有效地与手术电极或双极附件的一个导体相串联。这个电容在单极患者电路中应不超过</w:t>
            </w:r>
            <w:r>
              <w:t>5nF</w:t>
            </w:r>
            <w:r>
              <w:t>，</w:t>
            </w:r>
            <w:r>
              <w:t xml:space="preserve"> </w:t>
            </w:r>
          </w:p>
          <w:p w:rsidR="00FB618C" w:rsidRDefault="00722624">
            <w:pPr>
              <w:ind w:rightChars="-1" w:right="-2"/>
              <w:jc w:val="right"/>
            </w:pPr>
            <w:r>
              <w:t>单位：</w:t>
            </w:r>
            <w:r>
              <w:t>nF</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在双极患者电路中应不超过</w:t>
            </w:r>
            <w:r>
              <w:t>50nF</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在手术电极和中性电极端口之间，或者在双极输出电路的两个端口之间的直流电阻应不小于</w:t>
            </w:r>
            <w:r>
              <w:t>2MΩ</w:t>
            </w:r>
            <w:r>
              <w:t>。</w:t>
            </w:r>
          </w:p>
          <w:p w:rsidR="00FB618C" w:rsidRDefault="00722624">
            <w:pPr>
              <w:ind w:rightChars="-1" w:right="-2"/>
              <w:jc w:val="right"/>
            </w:pPr>
            <w:r>
              <w:t>单位：</w:t>
            </w:r>
            <w:r>
              <w:t>MΩ</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201.8.5.1.2</w:t>
            </w:r>
            <w:r>
              <w:t>对患者的防护措施（</w:t>
            </w:r>
            <w:r>
              <w:t>MOPP</w:t>
            </w:r>
            <w:r>
              <w:t>）</w:t>
            </w:r>
          </w:p>
          <w:p w:rsidR="00FB618C" w:rsidRDefault="00722624">
            <w:pPr>
              <w:ind w:rightChars="-1" w:right="-2"/>
            </w:pPr>
            <w:r>
              <w:t>修改：对于高频手术设备，在高频应用部分与包括信号输入</w:t>
            </w:r>
            <w:r>
              <w:t>/</w:t>
            </w:r>
            <w:r>
              <w:t>输出部分在内的外壳之间、高频患者电路和中间电路之间以及不同高频患者电路之间，其爬电距离和电气间隙应至少为</w:t>
            </w:r>
            <w:r>
              <w:t>3mm/KV</w:t>
            </w:r>
            <w:r>
              <w:t>或</w:t>
            </w:r>
            <w:r>
              <w:t>4mm</w:t>
            </w:r>
            <w:r>
              <w:t>，取其较大值。基准电压应是最大峰值电压。这些隔离不需要经受</w:t>
            </w:r>
            <w:r>
              <w:t>201.8.8.3</w:t>
            </w:r>
            <w:r>
              <w:t>的电介质强度测试。（</w:t>
            </w:r>
            <w:r>
              <w:rPr>
                <w:rFonts w:hint="eastAsia"/>
              </w:rPr>
              <w:t>V</w:t>
            </w:r>
            <w:r>
              <w:rPr>
                <w:rFonts w:hint="eastAsia"/>
                <w:vertAlign w:val="subscript"/>
              </w:rPr>
              <w:t>p</w:t>
            </w:r>
            <w:r>
              <w:rPr>
                <w:rFonts w:hint="eastAsia"/>
              </w:rPr>
              <w:t>=170V</w:t>
            </w:r>
            <w:r>
              <w:t>取</w:t>
            </w:r>
            <w:r>
              <w:rPr>
                <w:rFonts w:hint="eastAsia"/>
              </w:rPr>
              <w:t>4</w:t>
            </w:r>
            <w:r>
              <w:t>mm</w:t>
            </w:r>
            <w:r>
              <w:t>）</w:t>
            </w:r>
          </w:p>
          <w:p w:rsidR="00FB618C" w:rsidRDefault="00722624">
            <w:pPr>
              <w:ind w:rightChars="-1" w:right="-2"/>
              <w:jc w:val="right"/>
            </w:pPr>
            <w:r>
              <w:t>单位：</w:t>
            </w:r>
            <w:r>
              <w:t>mm</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 xml:space="preserve">201.8.5.2.3 </w:t>
            </w:r>
            <w:r>
              <w:t>患者导联或患者电缆</w:t>
            </w:r>
          </w:p>
          <w:p w:rsidR="00FB618C" w:rsidRDefault="00722624">
            <w:pPr>
              <w:autoSpaceDE w:val="0"/>
              <w:autoSpaceDN w:val="0"/>
              <w:jc w:val="left"/>
            </w:pPr>
            <w:r>
              <w:t>该要求应不适用于手术连接器或任何中性电极连接器，以下详细说明除外。</w:t>
            </w:r>
          </w:p>
          <w:p w:rsidR="00FB618C" w:rsidRDefault="00722624">
            <w:pPr>
              <w:ind w:rightChars="-1" w:right="-2"/>
            </w:pPr>
            <w:r>
              <w:t>对于中性电极电缆，远离患者的连接器的结构应使其连接不能接触固定的网电源插座或网电源连接器的导体带电部分。</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如果所述连接器导电性接头能插入一个固定的网电源插座插孔或网电源连接器中，则应用至少具有爬电距离</w:t>
            </w:r>
            <w:r>
              <w:t>1.0mm</w:t>
            </w:r>
            <w:r>
              <w:t>，电介质强度</w:t>
            </w:r>
            <w:r>
              <w:t>1500V</w:t>
            </w:r>
            <w:r>
              <w:t>的绝缘来防止该接头与带有网电源电压的部分接触。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201.8.5.5</w:t>
            </w:r>
            <w:r>
              <w:t>防除颤应用部分</w:t>
            </w:r>
          </w:p>
          <w:p w:rsidR="00FB618C" w:rsidRDefault="00722624">
            <w:pPr>
              <w:autoSpaceDE w:val="0"/>
              <w:autoSpaceDN w:val="0"/>
              <w:jc w:val="left"/>
            </w:pPr>
            <w:r>
              <w:t>修改：</w:t>
            </w:r>
          </w:p>
          <w:p w:rsidR="00FB618C" w:rsidRDefault="00722624">
            <w:pPr>
              <w:autoSpaceDE w:val="0"/>
              <w:autoSpaceDN w:val="0"/>
              <w:jc w:val="left"/>
            </w:pPr>
            <w:r>
              <w:t>在本条款范围内，高频手术设备的高频患者电路应被看作应用部分。</w:t>
            </w:r>
          </w:p>
          <w:p w:rsidR="00FB618C" w:rsidRDefault="00722624">
            <w:pPr>
              <w:autoSpaceDE w:val="0"/>
              <w:autoSpaceDN w:val="0"/>
              <w:jc w:val="left"/>
            </w:pPr>
            <w:r>
              <w:t>仅用通用标准</w:t>
            </w:r>
            <w:r>
              <w:t>8.5.5.1</w:t>
            </w:r>
            <w:r>
              <w:t>和图</w:t>
            </w:r>
            <w:r>
              <w:t>9</w:t>
            </w:r>
            <w:r>
              <w:t>所述共模试验来检验其符合性，所用试验电压以</w:t>
            </w:r>
            <w:r>
              <w:t>2kV</w:t>
            </w:r>
            <w:r>
              <w:t>替代</w:t>
            </w:r>
            <w:r>
              <w:t>5kV</w:t>
            </w:r>
            <w:r>
              <w:t>。</w:t>
            </w:r>
          </w:p>
          <w:p w:rsidR="00FB618C" w:rsidRDefault="00722624">
            <w:pPr>
              <w:ind w:rightChars="-1" w:right="-2"/>
            </w:pPr>
            <w:r>
              <w:t>试验后，高频手术设备应能满足本文件的所有要求和试验，并且能执行随机文件中所述预期功能。</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201.8.6.1</w:t>
            </w:r>
            <w:r>
              <w:t>要求的适用性</w:t>
            </w:r>
          </w:p>
          <w:p w:rsidR="00FB618C" w:rsidRDefault="00722624">
            <w:pPr>
              <w:autoSpaceDE w:val="0"/>
              <w:autoSpaceDN w:val="0"/>
              <w:jc w:val="left"/>
            </w:pPr>
            <w:r>
              <w:t>增补：</w:t>
            </w:r>
          </w:p>
          <w:p w:rsidR="00FB618C" w:rsidRDefault="00722624">
            <w:pPr>
              <w:ind w:rightChars="-1" w:right="-2"/>
            </w:pPr>
            <w:r>
              <w:t>一般情况下，保护接地导线不应携带功能性电流。但是对于额定输出功率不超过</w:t>
            </w:r>
            <w:r>
              <w:t>50W</w:t>
            </w:r>
            <w:r>
              <w:t>且预期不带中性电极使用的高频手术设备，网电源电缆中的保护接地导线可用作功能性高频电流的返回通道。</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201.8.7.1 </w:t>
            </w:r>
            <w:r>
              <w:t>通用要求</w:t>
            </w:r>
          </w:p>
          <w:p w:rsidR="00FB618C" w:rsidRDefault="00722624">
            <w:pPr>
              <w:autoSpaceDE w:val="0"/>
              <w:autoSpaceDN w:val="0"/>
              <w:jc w:val="left"/>
            </w:pPr>
            <w:r>
              <w:t>b</w:t>
            </w:r>
            <w:r>
              <w:t>）</w:t>
            </w:r>
          </w:p>
          <w:p w:rsidR="00FB618C" w:rsidRDefault="00722624">
            <w:pPr>
              <w:autoSpaceDE w:val="0"/>
              <w:autoSpaceDN w:val="0"/>
              <w:jc w:val="left"/>
            </w:pPr>
            <w:r>
              <w:t>增补：</w:t>
            </w:r>
          </w:p>
          <w:p w:rsidR="00FB618C" w:rsidRDefault="00722624">
            <w:pPr>
              <w:autoSpaceDE w:val="0"/>
              <w:autoSpaceDN w:val="0"/>
              <w:jc w:val="left"/>
            </w:pPr>
            <w:r>
              <w:t>——</w:t>
            </w:r>
            <w:r>
              <w:t>以高频输出不工作，但不影响低频漏电流的方式试验。</w:t>
            </w:r>
          </w:p>
          <w:p w:rsidR="00FB618C" w:rsidRDefault="00722624">
            <w:pPr>
              <w:autoSpaceDE w:val="0"/>
              <w:autoSpaceDN w:val="0"/>
              <w:jc w:val="left"/>
            </w:pPr>
            <w:r>
              <w:t>修改：</w:t>
            </w:r>
          </w:p>
          <w:p w:rsidR="00FB618C" w:rsidRDefault="00722624">
            <w:pPr>
              <w:ind w:rightChars="-1" w:right="-2"/>
            </w:pPr>
            <w:r>
              <w:t>这些试验应以高频手术设备电源接通而患者电路不启动的方式进行。</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201.8.7.3 </w:t>
            </w:r>
            <w:r>
              <w:t>容许值</w:t>
            </w:r>
          </w:p>
          <w:p w:rsidR="00FB618C" w:rsidRDefault="00722624">
            <w:pPr>
              <w:autoSpaceDE w:val="0"/>
              <w:autoSpaceDN w:val="0"/>
              <w:jc w:val="left"/>
            </w:pPr>
            <w:r>
              <w:t>ｂ）</w:t>
            </w:r>
          </w:p>
          <w:p w:rsidR="00FB618C" w:rsidRDefault="00722624">
            <w:pPr>
              <w:autoSpaceDE w:val="0"/>
              <w:autoSpaceDN w:val="0"/>
              <w:jc w:val="left"/>
            </w:pPr>
            <w:r>
              <w:t>增补：</w:t>
            </w:r>
          </w:p>
          <w:p w:rsidR="00FB618C" w:rsidRDefault="00722624">
            <w:pPr>
              <w:ind w:rightChars="-1" w:right="-2"/>
            </w:pPr>
            <w:r>
              <w:t>与接触质量监测器相关的患者辅助电流，不应超过</w:t>
            </w:r>
            <w:r>
              <w:t>BF</w:t>
            </w:r>
            <w:r>
              <w:t>型应用部分的允许值。</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e</w:t>
            </w:r>
            <w:r>
              <w:t>）</w:t>
            </w:r>
          </w:p>
          <w:p w:rsidR="00FB618C" w:rsidRDefault="00722624">
            <w:pPr>
              <w:autoSpaceDE w:val="0"/>
              <w:autoSpaceDN w:val="0"/>
              <w:jc w:val="left"/>
            </w:pPr>
            <w:r>
              <w:t>修改：</w:t>
            </w:r>
          </w:p>
          <w:p w:rsidR="00FB618C" w:rsidRDefault="00722624">
            <w:pPr>
              <w:ind w:rightChars="-1" w:right="-2"/>
            </w:pPr>
            <w:r>
              <w:t>10mA</w:t>
            </w:r>
            <w:r>
              <w:t>漏电流限制不适用于患者电路被启动时从手术电极和中性电极测试的高频漏电流（见</w:t>
            </w:r>
            <w:r>
              <w:t>201.8.7.3.101</w:t>
            </w:r>
            <w:r>
              <w:t>）。</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201.8.7.3.101</w:t>
            </w:r>
            <w:r>
              <w:t>高频漏电流的热作用</w:t>
            </w:r>
          </w:p>
          <w:p w:rsidR="00FB618C" w:rsidRDefault="00722624">
            <w:pPr>
              <w:autoSpaceDE w:val="0"/>
              <w:autoSpaceDN w:val="0"/>
              <w:jc w:val="left"/>
            </w:pPr>
            <w:r>
              <w:t>为了防止非预期的热灼伤，高频患者电路启动时从手术电极和中性电极测试的高频漏电流，根据其设计，应符合下列要求。</w:t>
            </w:r>
          </w:p>
          <w:p w:rsidR="00FB618C" w:rsidRDefault="00722624">
            <w:pPr>
              <w:pStyle w:val="aff7"/>
              <w:numPr>
                <w:ilvl w:val="0"/>
                <w:numId w:val="6"/>
              </w:numPr>
              <w:autoSpaceDE w:val="0"/>
              <w:autoSpaceDN w:val="0"/>
              <w:spacing w:line="240" w:lineRule="auto"/>
              <w:ind w:firstLineChars="0"/>
              <w:jc w:val="left"/>
              <w:textAlignment w:val="auto"/>
              <w:rPr>
                <w:szCs w:val="21"/>
              </w:rPr>
            </w:pPr>
            <w:r>
              <w:rPr>
                <w:szCs w:val="21"/>
              </w:rPr>
              <w:t>高频漏电流</w:t>
            </w:r>
          </w:p>
          <w:p w:rsidR="00FB618C" w:rsidRDefault="00722624">
            <w:pPr>
              <w:pStyle w:val="aff7"/>
              <w:numPr>
                <w:ilvl w:val="1"/>
                <w:numId w:val="6"/>
              </w:numPr>
              <w:autoSpaceDE w:val="0"/>
              <w:autoSpaceDN w:val="0"/>
              <w:spacing w:line="240" w:lineRule="auto"/>
              <w:ind w:left="0" w:firstLineChars="0" w:firstLine="0"/>
              <w:jc w:val="left"/>
              <w:textAlignment w:val="auto"/>
              <w:rPr>
                <w:szCs w:val="21"/>
              </w:rPr>
            </w:pPr>
            <w:r>
              <w:rPr>
                <w:szCs w:val="21"/>
              </w:rPr>
              <w:t>单极以地为基准的患者电路</w:t>
            </w:r>
          </w:p>
          <w:p w:rsidR="00FB618C" w:rsidRDefault="00722624">
            <w:pPr>
              <w:autoSpaceDE w:val="0"/>
              <w:autoSpaceDN w:val="0"/>
              <w:jc w:val="left"/>
            </w:pPr>
            <w:r>
              <w:t>患者电路对地绝缘，但中性电极利用一些元件（如电容）使其在高频下以地为基准，并能满足</w:t>
            </w:r>
            <w:r>
              <w:t>BF</w:t>
            </w:r>
            <w:r>
              <w:t>型应用部分要求。当以下述方法试验时，从中性电极经一个</w:t>
            </w:r>
            <w:r>
              <w:t>200Ω</w:t>
            </w:r>
            <w:r>
              <w:t>无感电阻流向地的高频漏电流不应超过</w:t>
            </w:r>
            <w:r>
              <w:t>150mA</w:t>
            </w:r>
            <w:r>
              <w:t>。</w:t>
            </w:r>
          </w:p>
          <w:p w:rsidR="00FB618C" w:rsidRDefault="00722624">
            <w:pPr>
              <w:autoSpaceDE w:val="0"/>
              <w:autoSpaceDN w:val="0"/>
              <w:jc w:val="right"/>
            </w:pPr>
            <w:r>
              <w:t>单位：</w:t>
            </w:r>
            <w:r>
              <w:t>mA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pStyle w:val="aff7"/>
              <w:numPr>
                <w:ilvl w:val="1"/>
                <w:numId w:val="6"/>
              </w:numPr>
              <w:autoSpaceDE w:val="0"/>
              <w:autoSpaceDN w:val="0"/>
              <w:spacing w:line="240" w:lineRule="auto"/>
              <w:ind w:left="0" w:firstLineChars="0" w:firstLine="0"/>
              <w:jc w:val="left"/>
              <w:textAlignment w:val="auto"/>
              <w:rPr>
                <w:szCs w:val="21"/>
              </w:rPr>
            </w:pPr>
            <w:r>
              <w:rPr>
                <w:szCs w:val="21"/>
              </w:rPr>
              <w:t>单极高频绝缘患者电路</w:t>
            </w:r>
          </w:p>
          <w:p w:rsidR="00FB618C" w:rsidRDefault="00722624">
            <w:pPr>
              <w:autoSpaceDE w:val="0"/>
              <w:autoSpaceDN w:val="0"/>
              <w:jc w:val="left"/>
            </w:pPr>
            <w:r>
              <w:t>无论在高频还是在低频下，患者电路均对地绝缘，并且这种绝缘在进行下述试验时，每一个电极依次经</w:t>
            </w:r>
            <w:r>
              <w:t>200Ω</w:t>
            </w:r>
            <w:r>
              <w:t>无感电阻流向地的高频漏电流不应超过</w:t>
            </w:r>
            <w:r>
              <w:t>150mA</w:t>
            </w:r>
            <w:r>
              <w:t>。</w:t>
            </w:r>
          </w:p>
          <w:p w:rsidR="00FB618C" w:rsidRDefault="00722624">
            <w:pPr>
              <w:ind w:rightChars="-1" w:right="-2"/>
              <w:jc w:val="right"/>
            </w:pPr>
            <w:r>
              <w:t>单位：</w:t>
            </w:r>
            <w:r>
              <w:t>mA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3</w:t>
            </w:r>
            <w:r>
              <w:t>）双极高频患者电路</w:t>
            </w:r>
          </w:p>
          <w:p w:rsidR="00FB618C" w:rsidRDefault="00722624">
            <w:pPr>
              <w:autoSpaceDE w:val="0"/>
              <w:autoSpaceDN w:val="0"/>
              <w:jc w:val="left"/>
            </w:pPr>
            <w:r>
              <w:t>专门设计作双极应用的患者电路，无论在高频还是低频下，都应与地及其他应用部分绝缘。</w:t>
            </w:r>
          </w:p>
          <w:p w:rsidR="00FB618C" w:rsidRDefault="00722624">
            <w:pPr>
              <w:ind w:rightChars="-1" w:right="-2"/>
            </w:pPr>
            <w:r>
              <w:t>在所有输出控制设定为最大值时，从双极输出的任一极经</w:t>
            </w:r>
            <w:r>
              <w:t>200Ω</w:t>
            </w:r>
            <w:r>
              <w:t>无感电阻到地和到中性电极流通的高频漏电流，在</w:t>
            </w:r>
            <w:r>
              <w:t>200Ω</w:t>
            </w:r>
            <w:r>
              <w:t>无感电阻上形成的功率不应超过最大双极额定输出功率的</w:t>
            </w:r>
            <w:r>
              <w:t>1%</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b</w:t>
            </w:r>
            <w:r>
              <w:t>）直接在高频手术设备端口测量的高频漏电流</w:t>
            </w:r>
          </w:p>
          <w:p w:rsidR="00FB618C" w:rsidRDefault="00722624">
            <w:pPr>
              <w:ind w:rightChars="-1" w:right="-2"/>
            </w:pPr>
            <w:r>
              <w:t>当直接在高频手术设备端口测量高频漏电流时，前面的试验项目</w:t>
            </w:r>
            <w:r>
              <w:t>a</w:t>
            </w:r>
            <w:r>
              <w:t>）也可通过将</w:t>
            </w:r>
            <w:r>
              <w:t>1</w:t>
            </w:r>
            <w:r>
              <w:t>）和</w:t>
            </w:r>
            <w:r>
              <w:t>2</w:t>
            </w:r>
            <w:r>
              <w:t>）的限值改变为</w:t>
            </w:r>
            <w:r>
              <w:t>100mA</w:t>
            </w:r>
            <w:r>
              <w:t>，</w:t>
            </w:r>
            <w:r>
              <w:t xml:space="preserve"> </w:t>
            </w:r>
          </w:p>
          <w:p w:rsidR="00FB618C" w:rsidRDefault="00722624">
            <w:pPr>
              <w:ind w:rightChars="-1" w:right="-2"/>
              <w:jc w:val="right"/>
            </w:pPr>
            <w:r>
              <w:t>单位：</w:t>
            </w:r>
            <w:r>
              <w:t>mA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而</w:t>
            </w:r>
            <w:r>
              <w:t>3</w:t>
            </w:r>
            <w:r>
              <w:t>）的在</w:t>
            </w:r>
            <w:r>
              <w:t>200Ω</w:t>
            </w:r>
            <w:r>
              <w:t>上的双极额定输出功率的</w:t>
            </w:r>
            <w:r>
              <w:t>1%</w:t>
            </w:r>
            <w:r>
              <w:t>的限制不变，</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且不得超过</w:t>
            </w:r>
            <w:r>
              <w:t>100mA</w:t>
            </w:r>
            <w:r>
              <w:t>来替代。</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c</w:t>
            </w:r>
            <w:r>
              <w:t>）不同高频患者电路之间的横向耦合</w:t>
            </w:r>
          </w:p>
          <w:p w:rsidR="00FB618C" w:rsidRDefault="00722624">
            <w:pPr>
              <w:autoSpaceDE w:val="0"/>
              <w:autoSpaceDN w:val="0"/>
              <w:jc w:val="left"/>
            </w:pPr>
            <w:r>
              <w:t>当其他患者电路以所有可用工作模式和在最大输出设定下启动时，那么：</w:t>
            </w:r>
          </w:p>
          <w:p w:rsidR="00FB618C" w:rsidRDefault="00722624">
            <w:pPr>
              <w:ind w:rightChars="-1" w:right="-2"/>
            </w:pPr>
            <w:r>
              <w:t>1</w:t>
            </w:r>
            <w:r>
              <w:t>）一个未启动的单极患者电路分别经</w:t>
            </w:r>
            <w:r>
              <w:t>200Ω</w:t>
            </w:r>
            <w:r>
              <w:t>负载到地和到中性电极均不应产生</w:t>
            </w:r>
            <w:r>
              <w:t>150mA</w:t>
            </w:r>
            <w:r>
              <w:t>以上高频电流。</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2</w:t>
            </w:r>
            <w:r>
              <w:t>）一个未启动的双极患者电路在跨接于两输出端上的</w:t>
            </w:r>
            <w:r>
              <w:t>200Ω</w:t>
            </w:r>
            <w:r>
              <w:t>负载上不得产生</w:t>
            </w:r>
            <w:r>
              <w:t>50mA</w:t>
            </w:r>
            <w:r>
              <w:t>以上高频电流；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两输出端子短接后，经</w:t>
            </w:r>
            <w:r>
              <w:t>200Ω</w:t>
            </w:r>
            <w:r>
              <w:t>负载到地以及经</w:t>
            </w:r>
            <w:r>
              <w:t>200Ω</w:t>
            </w:r>
            <w:r>
              <w:t>负载到中性电极不应产生</w:t>
            </w:r>
            <w:r>
              <w:t>50mA</w:t>
            </w:r>
            <w:r>
              <w:t>以上的高频电流（两电流相加，参见图</w:t>
            </w:r>
            <w:r>
              <w:t>201.107</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201.8.8.2</w:t>
            </w:r>
            <w:r>
              <w:t>固体绝缘的穿透距离或薄层材料的使用</w:t>
            </w:r>
          </w:p>
          <w:p w:rsidR="00FB618C" w:rsidRDefault="00722624">
            <w:pPr>
              <w:autoSpaceDE w:val="0"/>
              <w:autoSpaceDN w:val="0"/>
              <w:jc w:val="left"/>
            </w:pPr>
            <w:r>
              <w:t>修改：</w:t>
            </w:r>
          </w:p>
          <w:p w:rsidR="00FB618C" w:rsidRDefault="00722624">
            <w:pPr>
              <w:ind w:rightChars="-1" w:right="-2"/>
            </w:pPr>
            <w:r>
              <w:t>通用标准中</w:t>
            </w:r>
            <w:r>
              <w:t>8.8.2a</w:t>
            </w:r>
            <w:r>
              <w:t>）和</w:t>
            </w:r>
            <w:r>
              <w:t>8.8.2b</w:t>
            </w:r>
            <w:r>
              <w:t>）的要求不适用于高频附件。</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201.8.8.3</w:t>
            </w:r>
            <w:r>
              <w:t>电介质强度</w:t>
            </w:r>
          </w:p>
          <w:p w:rsidR="00FB618C" w:rsidRDefault="00722624">
            <w:pPr>
              <w:autoSpaceDE w:val="0"/>
              <w:autoSpaceDN w:val="0"/>
              <w:jc w:val="left"/>
            </w:pPr>
            <w:r>
              <w:t>修改：</w:t>
            </w:r>
          </w:p>
          <w:p w:rsidR="00FB618C" w:rsidRDefault="00722624">
            <w:pPr>
              <w:ind w:rightChars="-1" w:right="-2"/>
            </w:pPr>
            <w:r>
              <w:t>这些要求不适用于高频附件。对高频附件的要求和试验在</w:t>
            </w:r>
            <w:r>
              <w:t>201.8.8.3.101</w:t>
            </w:r>
            <w:r>
              <w:t>和</w:t>
            </w:r>
            <w:r>
              <w:t>201.15.101.4</w:t>
            </w:r>
            <w:r>
              <w:t>中给出。</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201.8.8.3.101</w:t>
            </w:r>
            <w:r>
              <w:t>手术附件绝缘</w:t>
            </w:r>
          </w:p>
          <w:p w:rsidR="00FB618C" w:rsidRDefault="00722624">
            <w:pPr>
              <w:ind w:rightChars="-1" w:right="-2"/>
            </w:pPr>
            <w:r>
              <w:t>手术附件及手术附件的电缆应有足够的绝缘，以减轻正常使用时对患者和操作者非预期热灼伤风险。</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201.8.8.3.102</w:t>
            </w:r>
            <w:r>
              <w:t>手术附件的高频泄漏</w:t>
            </w:r>
          </w:p>
          <w:p w:rsidR="00FB618C" w:rsidRDefault="00722624">
            <w:pPr>
              <w:autoSpaceDE w:val="0"/>
              <w:autoSpaceDN w:val="0"/>
              <w:jc w:val="left"/>
            </w:pPr>
            <w:r>
              <w:t>手术附件的高频泄漏测量按下述要求进行：</w:t>
            </w:r>
          </w:p>
          <w:p w:rsidR="00FB618C" w:rsidRDefault="00722624">
            <w:pPr>
              <w:autoSpaceDE w:val="0"/>
              <w:autoSpaceDN w:val="0"/>
              <w:jc w:val="left"/>
            </w:pPr>
            <w:r>
              <w:t>a</w:t>
            </w:r>
            <w:r>
              <w:t>）测量高频漏电流</w:t>
            </w:r>
          </w:p>
          <w:p w:rsidR="00FB618C" w:rsidRDefault="00722624">
            <w:pPr>
              <w:autoSpaceDE w:val="0"/>
              <w:autoSpaceDN w:val="0"/>
              <w:jc w:val="left"/>
            </w:pPr>
            <w:r>
              <w:t>应用于手术附件的绝缘，包括手术电极绝缘，但不包括手术连接器，应限制绝缘外表面上流通的高频漏电流小于</w:t>
            </w:r>
            <w:r>
              <w:t>I</w:t>
            </w:r>
            <w:r>
              <w:rPr>
                <w:vertAlign w:val="subscript"/>
              </w:rPr>
              <w:t>漏</w:t>
            </w:r>
            <w:r>
              <w:t>；</w:t>
            </w:r>
          </w:p>
          <w:p w:rsidR="00FB618C" w:rsidRDefault="00722624">
            <w:pPr>
              <w:autoSpaceDE w:val="0"/>
              <w:autoSpaceDN w:val="0"/>
              <w:jc w:val="left"/>
            </w:pPr>
            <w:r>
              <w:t>预期用于单极应用的手术附件的限值为：</w:t>
            </w:r>
          </w:p>
          <w:p w:rsidR="00FB618C" w:rsidRDefault="00722624">
            <w:pPr>
              <w:ind w:rightChars="-1" w:right="-2"/>
            </w:pPr>
            <w:r>
              <w:t>I</w:t>
            </w:r>
            <w:r>
              <w:rPr>
                <w:vertAlign w:val="subscript"/>
              </w:rPr>
              <w:t>漏</w:t>
            </w:r>
            <w:r>
              <w:t>[mA]=2.0×10</w:t>
            </w:r>
            <w:r>
              <w:rPr>
                <w:vertAlign w:val="superscript"/>
              </w:rPr>
              <w:t>-5</w:t>
            </w:r>
            <w:r>
              <w:t>×d×L×f</w:t>
            </w:r>
            <w:r>
              <w:rPr>
                <w:vertAlign w:val="subscript"/>
              </w:rPr>
              <w:t>试</w:t>
            </w:r>
            <w:r>
              <w:t>×U</w:t>
            </w:r>
            <w:r>
              <w:rPr>
                <w:vertAlign w:val="subscript"/>
              </w:rPr>
              <w:t>p</w:t>
            </w:r>
            <w:r>
              <w:t>=_</w:t>
            </w:r>
            <w:r>
              <w:rPr>
                <w:rFonts w:hint="eastAsia"/>
              </w:rPr>
              <w:t>177.84</w:t>
            </w:r>
            <w:r>
              <w:t>__[mA]</w:t>
            </w:r>
          </w:p>
          <w:p w:rsidR="00FB618C" w:rsidRDefault="00722624">
            <w:pPr>
              <w:ind w:rightChars="-1" w:right="-2"/>
              <w:jc w:val="right"/>
            </w:pPr>
            <w:r>
              <w:t>单位：</w:t>
            </w:r>
            <w:r>
              <w:t>mA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预期用于双极应用的手术附件的相应限值为：</w:t>
            </w:r>
          </w:p>
          <w:p w:rsidR="00FB618C" w:rsidRDefault="00722624">
            <w:pPr>
              <w:ind w:rightChars="-1" w:right="-2"/>
            </w:pPr>
            <w:r>
              <w:t>I</w:t>
            </w:r>
            <w:r>
              <w:rPr>
                <w:vertAlign w:val="subscript"/>
              </w:rPr>
              <w:t>漏</w:t>
            </w:r>
            <w:r>
              <w:t>[mA]=4.0×10</w:t>
            </w:r>
            <w:r>
              <w:rPr>
                <w:vertAlign w:val="superscript"/>
              </w:rPr>
              <w:t>-5</w:t>
            </w:r>
            <w:r>
              <w:t>×d×L×f</w:t>
            </w:r>
            <w:r>
              <w:rPr>
                <w:vertAlign w:val="subscript"/>
              </w:rPr>
              <w:t>试</w:t>
            </w:r>
            <w:r>
              <w:t>×U</w:t>
            </w:r>
            <w:r>
              <w:rPr>
                <w:vertAlign w:val="subscript"/>
              </w:rPr>
              <w:t>p</w:t>
            </w:r>
            <w:r>
              <w:t>=______[mA]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autoSpaceDE w:val="0"/>
              <w:autoSpaceDN w:val="0"/>
              <w:jc w:val="left"/>
            </w:pPr>
            <w:r>
              <w:t>b</w:t>
            </w:r>
            <w:r>
              <w:t>）测量高频漏电容</w:t>
            </w:r>
          </w:p>
          <w:p w:rsidR="00FB618C" w:rsidRDefault="00722624">
            <w:pPr>
              <w:autoSpaceDE w:val="0"/>
              <w:autoSpaceDN w:val="0"/>
              <w:jc w:val="left"/>
            </w:pPr>
            <w:r>
              <w:t>上述</w:t>
            </w:r>
            <w:r>
              <w:t>a</w:t>
            </w:r>
            <w:r>
              <w:t>）项或者可通过限制测量到的预期用于单极应用的手术附件的高频漏电容实现，高频漏电容不超过：</w:t>
            </w:r>
          </w:p>
          <w:p w:rsidR="00FB618C" w:rsidRDefault="00722624">
            <w:pPr>
              <w:autoSpaceDE w:val="0"/>
              <w:autoSpaceDN w:val="0"/>
              <w:jc w:val="left"/>
            </w:pPr>
            <w:r>
              <w:t>C</w:t>
            </w:r>
            <w:r>
              <w:rPr>
                <w:vertAlign w:val="subscript"/>
              </w:rPr>
              <w:t>漏</w:t>
            </w:r>
            <w:r>
              <w:t>[PF]=4.4×d×L=</w:t>
            </w:r>
            <w:r>
              <w:rPr>
                <w:rFonts w:hint="eastAsia"/>
              </w:rPr>
              <w:t xml:space="preserve"> </w:t>
            </w:r>
            <w:r>
              <w:t>[pF]</w:t>
            </w:r>
          </w:p>
          <w:p w:rsidR="00FB618C" w:rsidRDefault="00722624">
            <w:pPr>
              <w:autoSpaceDE w:val="0"/>
              <w:autoSpaceDN w:val="0"/>
              <w:jc w:val="right"/>
            </w:pPr>
            <w:r>
              <w:rPr>
                <w:rFonts w:hint="eastAsia"/>
              </w:rPr>
              <w:t>单位：</w:t>
            </w:r>
            <w:r>
              <w:rPr>
                <w:rFonts w:hint="eastAsia"/>
              </w:rPr>
              <w:t>pF</w:t>
            </w:r>
          </w:p>
        </w:tc>
        <w:tc>
          <w:tcPr>
            <w:tcW w:w="1080" w:type="dxa"/>
            <w:vAlign w:val="center"/>
          </w:tcPr>
          <w:p w:rsidR="00FB618C" w:rsidRDefault="00FB618C">
            <w:pPr>
              <w:ind w:leftChars="-51" w:left="-107" w:rightChars="-51" w:right="-107"/>
              <w:jc w:val="center"/>
              <w:rPr>
                <w:highlight w:val="yellow"/>
              </w:rP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对于预期用于双极应用的手术附件，高频漏电容不超过：</w:t>
            </w:r>
          </w:p>
          <w:p w:rsidR="00FB618C" w:rsidRDefault="00722624">
            <w:pPr>
              <w:autoSpaceDE w:val="0"/>
              <w:autoSpaceDN w:val="0"/>
              <w:jc w:val="left"/>
            </w:pPr>
            <w:r>
              <w:t>C</w:t>
            </w:r>
            <w:r>
              <w:rPr>
                <w:vertAlign w:val="subscript"/>
              </w:rPr>
              <w:t>漏</w:t>
            </w:r>
            <w:r>
              <w:t>[PF]=8.8×d×L</w:t>
            </w:r>
          </w:p>
          <w:p w:rsidR="00FB618C" w:rsidRDefault="00722624">
            <w:pPr>
              <w:ind w:rightChars="-1" w:right="-2"/>
            </w:pPr>
            <w:r>
              <w:t>=__________[pF]</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201.8.8.3.103</w:t>
            </w:r>
            <w:r>
              <w:t>手术附件的高频电介质强度</w:t>
            </w:r>
          </w:p>
          <w:p w:rsidR="00FB618C" w:rsidRDefault="00722624">
            <w:pPr>
              <w:autoSpaceDE w:val="0"/>
              <w:autoSpaceDN w:val="0"/>
              <w:jc w:val="left"/>
            </w:pPr>
            <w:r>
              <w:t>手术附件所用绝缘应能承受</w:t>
            </w:r>
            <w:r>
              <w:t>1.2</w:t>
            </w:r>
            <w:r>
              <w:t>倍额定附件电压的高频电压。</w:t>
            </w:r>
          </w:p>
          <w:p w:rsidR="00FB618C" w:rsidRDefault="00722624">
            <w:pPr>
              <w:autoSpaceDE w:val="0"/>
              <w:autoSpaceDN w:val="0"/>
              <w:jc w:val="left"/>
            </w:pPr>
            <w:r>
              <w:t>V</w:t>
            </w:r>
            <w:r>
              <w:rPr>
                <w:vertAlign w:val="subscript"/>
              </w:rPr>
              <w:t>ref</w:t>
            </w:r>
            <w:r>
              <w:t>=</w:t>
            </w:r>
            <w:r>
              <w:rPr>
                <w:rFonts w:hint="eastAsia"/>
              </w:rPr>
              <w:t xml:space="preserve"> 300</w:t>
            </w:r>
            <w:r>
              <w:t>[V]</w:t>
            </w:r>
          </w:p>
          <w:p w:rsidR="00FB618C" w:rsidRDefault="00722624">
            <w:pPr>
              <w:ind w:rightChars="-1" w:right="-2"/>
            </w:pPr>
            <w:r>
              <w:t>V</w:t>
            </w:r>
            <w:r>
              <w:rPr>
                <w:vertAlign w:val="subscript"/>
              </w:rPr>
              <w:t>test</w:t>
            </w:r>
            <w:r>
              <w:t>=</w:t>
            </w:r>
            <w:r>
              <w:rPr>
                <w:rFonts w:hint="eastAsia"/>
              </w:rPr>
              <w:t>360</w:t>
            </w:r>
            <w:r>
              <w:t>[V]</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201.8.8.3.104</w:t>
            </w:r>
            <w:r>
              <w:t>手术附件的工频电介质强度</w:t>
            </w:r>
            <w:r>
              <w:t xml:space="preserve"> </w:t>
            </w:r>
            <w:r>
              <w:t>用于手术附件的绝缘，包括按</w:t>
            </w:r>
            <w:r>
              <w:t>201.8.8.3.103</w:t>
            </w:r>
            <w:r>
              <w:t>高频试验过的绝缘部分，应能承受比高频附件制造商</w:t>
            </w:r>
            <w:r>
              <w:t xml:space="preserve"> </w:t>
            </w:r>
            <w:r>
              <w:t>规定的额定附件电压高</w:t>
            </w:r>
            <w:r>
              <w:t>1000</w:t>
            </w:r>
            <w:r>
              <w:t>Ｖ的直流或工频峰值电压。</w:t>
            </w:r>
          </w:p>
          <w:p w:rsidR="00FB618C" w:rsidRDefault="00722624">
            <w:pPr>
              <w:autoSpaceDE w:val="0"/>
              <w:autoSpaceDN w:val="0"/>
              <w:jc w:val="left"/>
            </w:pPr>
            <w:r>
              <w:t>V</w:t>
            </w:r>
            <w:r>
              <w:rPr>
                <w:vertAlign w:val="subscript"/>
              </w:rPr>
              <w:t>ref</w:t>
            </w:r>
            <w:r>
              <w:t>=</w:t>
            </w:r>
            <w:r>
              <w:rPr>
                <w:rFonts w:hint="eastAsia"/>
              </w:rPr>
              <w:t xml:space="preserve">300 </w:t>
            </w:r>
            <w:r>
              <w:t>[V]</w:t>
            </w:r>
          </w:p>
          <w:p w:rsidR="00FB618C" w:rsidRDefault="00722624">
            <w:pPr>
              <w:autoSpaceDE w:val="0"/>
              <w:autoSpaceDN w:val="0"/>
              <w:jc w:val="left"/>
            </w:pPr>
            <w:r>
              <w:t xml:space="preserve">□ AC    </w:t>
            </w:r>
            <w:r>
              <w:sym w:font="Wingdings" w:char="F06E"/>
            </w:r>
            <w:r>
              <w:t xml:space="preserve"> DC  </w:t>
            </w:r>
          </w:p>
          <w:p w:rsidR="00FB618C" w:rsidRDefault="00722624">
            <w:pPr>
              <w:ind w:rightChars="-1" w:right="-2"/>
            </w:pPr>
            <w:r>
              <w:t>V</w:t>
            </w:r>
            <w:r>
              <w:rPr>
                <w:vertAlign w:val="subscript"/>
              </w:rPr>
              <w:t>test</w:t>
            </w:r>
            <w:r>
              <w:t>=</w:t>
            </w:r>
            <w:r>
              <w:rPr>
                <w:rFonts w:hint="eastAsia"/>
              </w:rPr>
              <w:t xml:space="preserve"> 1300</w:t>
            </w:r>
            <w:r>
              <w:t>[V]</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1421"/>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201.8.9.1.5 </w:t>
            </w:r>
            <w:r>
              <w:t>用于高海拔的</w:t>
            </w:r>
            <w:r>
              <w:t>ME</w:t>
            </w:r>
            <w:r>
              <w:t>设备</w:t>
            </w:r>
          </w:p>
          <w:p w:rsidR="00FB618C" w:rsidRDefault="00722624">
            <w:pPr>
              <w:ind w:rightChars="-1" w:right="-2"/>
            </w:pPr>
            <w:r>
              <w:t>修改：</w:t>
            </w:r>
            <w:r>
              <w:t xml:space="preserve"> </w:t>
            </w:r>
            <w:r>
              <w:t>这个要求不适用于高频患者电路与包括信号输入／输出部分的外壳之间以及不同的高频患者电路之间的隔离。</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rPr>
                <w:lang w:bidi="zh-TW"/>
              </w:rPr>
              <w:t xml:space="preserve">201.8.10.4 </w:t>
            </w:r>
            <w:r>
              <w:t>有电线连接的手持式和脚踏式控制装置</w:t>
            </w:r>
          </w:p>
          <w:p w:rsidR="00FB618C" w:rsidRDefault="00722624">
            <w:pPr>
              <w:ind w:rightChars="-1" w:right="-2"/>
            </w:pPr>
            <w:r>
              <w:t>201.8.10.4.1</w:t>
            </w:r>
            <w:r>
              <w:t>工作电压的限制通用标准的</w:t>
            </w:r>
            <w:r>
              <w:t>8.10.4.1</w:t>
            </w:r>
            <w:r>
              <w:t>不适用。见</w:t>
            </w:r>
            <w:r>
              <w:t>201.8.10.4.101</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201.8.10.4.2 </w:t>
            </w:r>
            <w:r>
              <w:t>连接用电线</w:t>
            </w:r>
          </w:p>
          <w:p w:rsidR="00FB618C" w:rsidRDefault="00722624">
            <w:pPr>
              <w:ind w:rightChars="-1" w:right="-2"/>
            </w:pPr>
            <w:r>
              <w:t>替换：</w:t>
            </w:r>
            <w:r>
              <w:t xml:space="preserve"> </w:t>
            </w:r>
            <w:r>
              <w:t>手术附件电缆的固定结构应设计成能防止由于电缆扭曲或过分拉扯引起的导体和绝缘损坏，从而能使患者和操作者受到的风险最小化。</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121</w:t>
            </w:r>
          </w:p>
        </w:tc>
        <w:tc>
          <w:tcPr>
            <w:tcW w:w="1077" w:type="dxa"/>
            <w:vMerge w:val="restart"/>
          </w:tcPr>
          <w:p w:rsidR="00FB618C" w:rsidRDefault="00722624">
            <w:pPr>
              <w:ind w:left="1" w:rightChars="-1" w:right="-2" w:hanging="1"/>
            </w:pPr>
            <w:r>
              <w:t>ME</w:t>
            </w:r>
            <w:r>
              <w:t>设备对电击危险的防护</w:t>
            </w:r>
          </w:p>
        </w:tc>
        <w:tc>
          <w:tcPr>
            <w:tcW w:w="714" w:type="dxa"/>
            <w:vMerge w:val="restart"/>
          </w:tcPr>
          <w:p w:rsidR="00FB618C" w:rsidRDefault="00722624">
            <w:pPr>
              <w:jc w:val="center"/>
            </w:pPr>
            <w:r>
              <w:rPr>
                <w:lang w:bidi="zh-TW"/>
              </w:rPr>
              <w:t>201.8</w:t>
            </w:r>
          </w:p>
        </w:tc>
        <w:tc>
          <w:tcPr>
            <w:tcW w:w="4495" w:type="dxa"/>
            <w:gridSpan w:val="2"/>
          </w:tcPr>
          <w:p w:rsidR="00FB618C" w:rsidRDefault="00722624">
            <w:pPr>
              <w:spacing w:line="280" w:lineRule="exact"/>
              <w:ind w:rightChars="-1" w:right="-2"/>
            </w:pPr>
            <w:r>
              <w:t>201.8.10.4.101</w:t>
            </w:r>
            <w:r>
              <w:t>开关检测器</w:t>
            </w:r>
          </w:p>
          <w:p w:rsidR="00FB618C" w:rsidRDefault="00722624">
            <w:pPr>
              <w:spacing w:line="280" w:lineRule="exact"/>
              <w:ind w:rightChars="-1" w:right="-2"/>
            </w:pPr>
            <w:r>
              <w:t>201.8.10.4.101.1</w:t>
            </w:r>
            <w:r>
              <w:t>概述</w:t>
            </w:r>
            <w:r>
              <w:rPr>
                <w:rFonts w:hint="eastAsia"/>
              </w:rPr>
              <w:t xml:space="preserve">  </w:t>
            </w:r>
            <w:r>
              <w:t>除了</w:t>
            </w:r>
            <w:r>
              <w:t>201.8.10.4.101.2</w:t>
            </w:r>
            <w:r>
              <w:t>中所述之外，高频手术设备和可用附属设备都应配置一个开关检测器，以便即时响应开关的通断动作而使相应手术输出端子受激或停激。</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对于电缆连接的手术附件的开关检测器，应使用与网电源部分和地绝缘的电源供电，如果它与应用</w:t>
            </w:r>
            <w:r>
              <w:t xml:space="preserve"> </w:t>
            </w:r>
            <w:r>
              <w:t>部分有导电连接时，供电电压不超过</w:t>
            </w:r>
            <w:r>
              <w:t>12V</w:t>
            </w:r>
            <w:r>
              <w:t>，无导电连接时供电电压不超过交流</w:t>
            </w:r>
            <w:r>
              <w:t>24V</w:t>
            </w:r>
            <w:r>
              <w:t>或直流</w:t>
            </w:r>
            <w:r>
              <w:t>34V</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在单一故障状态下，开关检测器不应引起低频患者漏电流超过允许限值（见</w:t>
            </w:r>
            <w:r>
              <w:t>201.8.7.3</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36" w:right="-76" w:hanging="60"/>
            </w:pPr>
            <w:r>
              <w:t>如果开关检测器具有预期连接外部电气开关触点的输入端口，当这些端口上跨接一个</w:t>
            </w:r>
            <w:r>
              <w:t>≥1000Ω</w:t>
            </w:r>
            <w:r>
              <w:t>电阻时，应不能启动高频手术设备的任何输出。</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每一个开关检测器应只能启动预期的单一手术输出端子，并且一次不应控制多于一个的高频手术模式。</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201.8.10.4.101.2</w:t>
            </w:r>
            <w:r>
              <w:t>非连续启动</w:t>
            </w:r>
          </w:p>
          <w:p w:rsidR="00FB618C" w:rsidRDefault="00722624">
            <w:pPr>
              <w:autoSpaceDE w:val="0"/>
              <w:autoSpaceDN w:val="0"/>
              <w:jc w:val="left"/>
            </w:pPr>
            <w:r>
              <w:t>开关检测器的非连续启动模式被接受，仅当：</w:t>
            </w:r>
          </w:p>
          <w:p w:rsidR="00FB618C" w:rsidRDefault="00722624">
            <w:pPr>
              <w:ind w:rightChars="-1" w:right="-2"/>
            </w:pPr>
            <w:r>
              <w:t>a</w:t>
            </w:r>
            <w:r>
              <w:t>）高频手术设备根据设备的专门用途自动停止输出；</w:t>
            </w:r>
            <w:r>
              <w:t xml:space="preserve"> </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）提供一个可视指示器向操作者指明高频手术设备设置于这种专门应用方式；以及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c</w:t>
            </w:r>
            <w:r>
              <w:t>）具有手动停止输出功能。</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201.8.10.4.101.3</w:t>
            </w:r>
            <w:r>
              <w:t>用阻抗检测方法启动</w:t>
            </w:r>
          </w:p>
          <w:p w:rsidR="00FB618C" w:rsidRDefault="00722624">
            <w:pPr>
              <w:autoSpaceDE w:val="0"/>
              <w:autoSpaceDN w:val="0"/>
              <w:jc w:val="left"/>
            </w:pPr>
            <w:r>
              <w:t>只有对双极凝，开关检测器方可根据手术输出端子上呈现的阻抗来启动高频输出。</w:t>
            </w:r>
          </w:p>
          <w:p w:rsidR="00FB618C" w:rsidRDefault="00722624">
            <w:pPr>
              <w:autoSpaceDE w:val="0"/>
              <w:autoSpaceDN w:val="0"/>
              <w:jc w:val="left"/>
            </w:pPr>
            <w:r>
              <w:t>如果这种阻扰敏感开关检测器具有其他用途或附加到一个触点闭合敏感开关检测器上，那么：</w:t>
            </w:r>
          </w:p>
          <w:p w:rsidR="00FB618C" w:rsidRDefault="00722624">
            <w:pPr>
              <w:ind w:rightChars="-1" w:right="-2"/>
            </w:pPr>
            <w:r>
              <w:t>a</w:t>
            </w:r>
            <w:r>
              <w:t>）当供电网中断并恢复时，这种检测器在任何情况下应不能单独激励高频输出，以及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）只有当操作者专门选中时，阻抗检测启动才能起作用，以及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c</w:t>
            </w:r>
            <w:r>
              <w:t>）对这种选择应向操作者提供可见指示。</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201.8.10.4.101.4</w:t>
            </w:r>
            <w:r>
              <w:t>脚踏开关</w:t>
            </w:r>
          </w:p>
          <w:p w:rsidR="00FB618C" w:rsidRDefault="00722624">
            <w:pPr>
              <w:autoSpaceDE w:val="0"/>
              <w:autoSpaceDN w:val="0"/>
              <w:ind w:leftChars="-21" w:rightChars="-56" w:right="-118" w:hangingChars="21" w:hanging="44"/>
              <w:jc w:val="left"/>
            </w:pPr>
            <w:r>
              <w:t>脚踏开关应符合下述要求</w:t>
            </w:r>
            <w:r>
              <w:t>(</w:t>
            </w:r>
            <w:r>
              <w:t>见</w:t>
            </w:r>
            <w:r>
              <w:t>201.11.6.5</w:t>
            </w:r>
            <w:r>
              <w:t>和</w:t>
            </w:r>
            <w:r>
              <w:t>201.12.2</w:t>
            </w:r>
            <w:r>
              <w:t>）</w:t>
            </w:r>
          </w:p>
          <w:p w:rsidR="00FB618C" w:rsidRDefault="00722624">
            <w:pPr>
              <w:ind w:rightChars="-1" w:right="-2"/>
            </w:pPr>
            <w:r>
              <w:t>启动开关所要求的力不应小于</w:t>
            </w:r>
            <w:r>
              <w:t>10N</w:t>
            </w:r>
            <w:r>
              <w:t>，该力施加于脚踏开关操作表面上任何</w:t>
            </w:r>
            <w:r>
              <w:t>625mm</w:t>
            </w:r>
            <w:r>
              <w:rPr>
                <w:vertAlign w:val="superscript"/>
              </w:rPr>
              <w:t>2</w:t>
            </w:r>
            <w:r>
              <w:t>面积上。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1969"/>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对超温和其他危险（源）的防护</w:t>
            </w:r>
          </w:p>
        </w:tc>
        <w:tc>
          <w:tcPr>
            <w:tcW w:w="714" w:type="dxa"/>
            <w:vMerge w:val="restart"/>
          </w:tcPr>
          <w:p w:rsidR="00FB618C" w:rsidRDefault="00722624">
            <w:pPr>
              <w:jc w:val="center"/>
            </w:pPr>
            <w:r>
              <w:rPr>
                <w:lang w:bidi="zh-TW"/>
              </w:rPr>
              <w:t>201.11</w:t>
            </w:r>
          </w:p>
        </w:tc>
        <w:tc>
          <w:tcPr>
            <w:tcW w:w="4495" w:type="dxa"/>
            <w:gridSpan w:val="2"/>
          </w:tcPr>
          <w:p w:rsidR="00FB618C" w:rsidRDefault="00722624">
            <w:pPr>
              <w:autoSpaceDE w:val="0"/>
              <w:autoSpaceDN w:val="0"/>
              <w:jc w:val="left"/>
            </w:pPr>
            <w:r>
              <w:t>201.11.1.1</w:t>
            </w:r>
            <w:r>
              <w:t>正常使用时的最高温度</w:t>
            </w:r>
          </w:p>
          <w:p w:rsidR="00FB618C" w:rsidRDefault="00722624">
            <w:pPr>
              <w:autoSpaceDE w:val="0"/>
              <w:autoSpaceDN w:val="0"/>
              <w:jc w:val="left"/>
            </w:pPr>
            <w:r>
              <w:t>增补：</w:t>
            </w:r>
          </w:p>
          <w:p w:rsidR="00FB618C" w:rsidRDefault="00722624">
            <w:pPr>
              <w:autoSpaceDE w:val="0"/>
              <w:autoSpaceDN w:val="0"/>
              <w:jc w:val="left"/>
            </w:pPr>
            <w:r>
              <w:t>用电极电缆将高频手术设备的额定输出功率加到一个电阻性负载上，以制造商规定的持续周期运行</w:t>
            </w:r>
            <w:r>
              <w:t>1h</w:t>
            </w:r>
            <w:r>
              <w:t>，但运行时间不少于</w:t>
            </w:r>
            <w:r>
              <w:t>10s</w:t>
            </w:r>
            <w:r>
              <w:t>，间歇时间不多于</w:t>
            </w:r>
            <w:r>
              <w:t>30s</w:t>
            </w:r>
            <w:r>
              <w:t>。</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1685"/>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201.11.1.2.1</w:t>
            </w:r>
            <w:r>
              <w:t>向患者提供热量的应用部分</w:t>
            </w:r>
          </w:p>
          <w:p w:rsidR="00FB618C" w:rsidRDefault="00722624">
            <w:pPr>
              <w:autoSpaceDE w:val="0"/>
              <w:autoSpaceDN w:val="0"/>
              <w:jc w:val="left"/>
            </w:pPr>
            <w:r>
              <w:t>增补：</w:t>
            </w:r>
          </w:p>
          <w:p w:rsidR="00FB618C" w:rsidRDefault="00722624">
            <w:pPr>
              <w:ind w:rightChars="-1" w:right="-2"/>
            </w:pPr>
            <w:r>
              <w:t>手术电极被认为是应用部分，作为其预期临床效果（切和凝）的一部分预期为患者提供热量。不要求披露温度和临床效果。</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1412"/>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201.11.1.2.2</w:t>
            </w:r>
            <w:r>
              <w:t xml:space="preserve">　不向患者提供热量的应用部分</w:t>
            </w:r>
          </w:p>
          <w:p w:rsidR="00FB618C" w:rsidRDefault="00722624">
            <w:pPr>
              <w:autoSpaceDE w:val="0"/>
              <w:autoSpaceDN w:val="0"/>
              <w:jc w:val="left"/>
            </w:pPr>
            <w:r>
              <w:t>增补：</w:t>
            </w:r>
          </w:p>
          <w:p w:rsidR="00FB618C" w:rsidRDefault="00722624">
            <w:pPr>
              <w:ind w:rightChars="-1" w:right="-2"/>
            </w:pPr>
            <w:r>
              <w:t>中性电极被认为是应用部分，不预期为患者提供热量。（见</w:t>
            </w:r>
            <w:r>
              <w:t>201.12.4.101</w:t>
            </w:r>
            <w:r>
              <w:t>和</w:t>
            </w:r>
            <w:r>
              <w:t>201.15.101.5</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113"/>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201.11.6.3ME</w:t>
            </w:r>
            <w:r>
              <w:t>设备和</w:t>
            </w:r>
            <w:r>
              <w:t>ME</w:t>
            </w:r>
            <w:r>
              <w:t>系统中的液体泼洒</w:t>
            </w:r>
          </w:p>
          <w:p w:rsidR="00FB618C" w:rsidRDefault="00722624">
            <w:pPr>
              <w:autoSpaceDE w:val="0"/>
              <w:autoSpaceDN w:val="0"/>
              <w:jc w:val="left"/>
            </w:pPr>
            <w:r>
              <w:t>替换：</w:t>
            </w:r>
          </w:p>
          <w:p w:rsidR="00FB618C" w:rsidRDefault="00722624">
            <w:pPr>
              <w:ind w:rightChars="-1" w:right="-2"/>
            </w:pPr>
            <w:r>
              <w:t>高频手术设备和附属设备的外壳结构应制成在正常使用时不会因液体泼洒而弄湿电气绝缘和那些一旦弄湿可能影响高频手术设备和附属设备安全的其他元器件。</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201.11.6.5</w:t>
            </w:r>
            <w:r>
              <w:t>水或颗粒物质侵入</w:t>
            </w:r>
            <w:r>
              <w:t>ME</w:t>
            </w:r>
            <w:r>
              <w:t>设备和</w:t>
            </w:r>
            <w:r>
              <w:t>ME</w:t>
            </w:r>
            <w:r>
              <w:t>系统</w:t>
            </w:r>
          </w:p>
          <w:p w:rsidR="00FB618C" w:rsidRDefault="00722624">
            <w:pPr>
              <w:autoSpaceDE w:val="0"/>
              <w:autoSpaceDN w:val="0"/>
              <w:jc w:val="left"/>
            </w:pPr>
            <w:r>
              <w:t>增补：</w:t>
            </w:r>
          </w:p>
          <w:p w:rsidR="00FB618C" w:rsidRDefault="00722624">
            <w:pPr>
              <w:ind w:rightChars="-1" w:right="-2"/>
            </w:pPr>
            <w:r>
              <w:t>a</w:t>
            </w:r>
            <w:r>
              <w:t>）预期在手术室中使用的高频手术设备和附属设备的脚踏开关，其电气开关部件应防止液体进入，可能引起应用部分意外激励的影响。</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）指揿开关的电气部件应能防止进液影响，进液可能引起应用部分被意外激励（还可参见</w:t>
            </w:r>
            <w:r>
              <w:t>201.8.8.3.103</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201.11.6.7 ME</w:t>
            </w:r>
            <w:r>
              <w:t>设备和</w:t>
            </w:r>
            <w:r>
              <w:t>ME</w:t>
            </w:r>
            <w:r>
              <w:t>系统的灭菌</w:t>
            </w:r>
          </w:p>
          <w:p w:rsidR="00FB618C" w:rsidRDefault="00722624">
            <w:pPr>
              <w:autoSpaceDE w:val="0"/>
              <w:autoSpaceDN w:val="0"/>
              <w:jc w:val="left"/>
            </w:pPr>
            <w:r>
              <w:t>增补：</w:t>
            </w:r>
          </w:p>
          <w:p w:rsidR="00FB618C" w:rsidRDefault="00722624">
            <w:pPr>
              <w:ind w:rightChars="-1" w:right="-2"/>
            </w:pPr>
            <w:r>
              <w:t>除非标记为仅一次性使用，手术附件及其所有可拆卸部件（不用工具可从电缆上拆卸下来的手术连接器除外），经过通用标准该条款规定的试验后，都应符合本文件的要求。</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122</w:t>
            </w:r>
          </w:p>
        </w:tc>
        <w:tc>
          <w:tcPr>
            <w:tcW w:w="1077" w:type="dxa"/>
            <w:vMerge w:val="restart"/>
          </w:tcPr>
          <w:p w:rsidR="00FB618C" w:rsidRDefault="00722624">
            <w:pPr>
              <w:ind w:left="1" w:rightChars="-1" w:right="-2" w:hanging="1"/>
            </w:pPr>
            <w:r>
              <w:t>对超温和其他危险（源）的防护</w:t>
            </w:r>
          </w:p>
        </w:tc>
        <w:tc>
          <w:tcPr>
            <w:tcW w:w="714" w:type="dxa"/>
            <w:vMerge w:val="restart"/>
          </w:tcPr>
          <w:p w:rsidR="00FB618C" w:rsidRDefault="00722624">
            <w:pPr>
              <w:jc w:val="center"/>
            </w:pPr>
            <w:r>
              <w:rPr>
                <w:lang w:bidi="zh-TW"/>
              </w:rPr>
              <w:t>201.11</w:t>
            </w:r>
          </w:p>
        </w:tc>
        <w:tc>
          <w:tcPr>
            <w:tcW w:w="4495" w:type="dxa"/>
            <w:gridSpan w:val="2"/>
          </w:tcPr>
          <w:p w:rsidR="00FB618C" w:rsidRDefault="00722624">
            <w:pPr>
              <w:autoSpaceDE w:val="0"/>
              <w:autoSpaceDN w:val="0"/>
              <w:jc w:val="left"/>
            </w:pPr>
            <w:r>
              <w:t>201.11.8  ME</w:t>
            </w:r>
            <w:r>
              <w:t>设备的供电电源</w:t>
            </w:r>
            <w:r>
              <w:t>/</w:t>
            </w:r>
            <w:r>
              <w:t>供电网中断</w:t>
            </w:r>
          </w:p>
          <w:p w:rsidR="00FB618C" w:rsidRDefault="00722624">
            <w:pPr>
              <w:autoSpaceDE w:val="0"/>
              <w:autoSpaceDN w:val="0"/>
              <w:jc w:val="left"/>
            </w:pPr>
            <w:r>
              <w:t>当高频手术设备电源关断再接通，或者供电网中断再恢复时：</w:t>
            </w:r>
          </w:p>
          <w:p w:rsidR="00FB618C" w:rsidRDefault="00722624">
            <w:pPr>
              <w:ind w:rightChars="-1" w:right="-2"/>
            </w:pPr>
            <w:r>
              <w:t>——</w:t>
            </w:r>
            <w:r>
              <w:t>输出控制器一个给定设定下的输出功率不应增加</w:t>
            </w:r>
            <w:r>
              <w:t>20%</w:t>
            </w:r>
            <w:r>
              <w:t>以上，并且</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w:t>
            </w:r>
            <w:r>
              <w:t>除了不产生功率输出的待机状态之外，原来选择的高频手术模式不应改变。</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8"/>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控制器和仪表的准确性和危险输出的防护</w:t>
            </w:r>
          </w:p>
        </w:tc>
        <w:tc>
          <w:tcPr>
            <w:tcW w:w="714" w:type="dxa"/>
            <w:vMerge w:val="restart"/>
          </w:tcPr>
          <w:p w:rsidR="00FB618C" w:rsidRDefault="00722624">
            <w:pPr>
              <w:jc w:val="center"/>
            </w:pPr>
            <w:r>
              <w:rPr>
                <w:lang w:bidi="zh-TW"/>
              </w:rPr>
              <w:t>201.12</w:t>
            </w:r>
          </w:p>
        </w:tc>
        <w:tc>
          <w:tcPr>
            <w:tcW w:w="4495" w:type="dxa"/>
            <w:gridSpan w:val="2"/>
            <w:tcMar>
              <w:top w:w="0" w:type="dxa"/>
              <w:left w:w="0" w:type="dxa"/>
              <w:bottom w:w="0" w:type="dxa"/>
              <w:right w:w="0" w:type="dxa"/>
            </w:tcMar>
          </w:tcPr>
          <w:p w:rsidR="00FB618C" w:rsidRDefault="00722624">
            <w:pPr>
              <w:autoSpaceDE w:val="0"/>
              <w:autoSpaceDN w:val="0"/>
              <w:jc w:val="left"/>
            </w:pPr>
            <w:r>
              <w:rPr>
                <w:rFonts w:hint="eastAsia"/>
              </w:rPr>
              <w:t xml:space="preserve">201.12.1 </w:t>
            </w:r>
            <w:r>
              <w:rPr>
                <w:rFonts w:hint="eastAsia"/>
              </w:rPr>
              <w:t>控制器和仪表的准确性</w:t>
            </w:r>
          </w:p>
          <w:p w:rsidR="00FB618C" w:rsidRDefault="00722624">
            <w:pPr>
              <w:autoSpaceDE w:val="0"/>
              <w:autoSpaceDN w:val="0"/>
              <w:jc w:val="left"/>
            </w:pPr>
            <w:r>
              <w:t>201.12.1.101</w:t>
            </w:r>
            <w:r>
              <w:t xml:space="preserve">　输出控制设定的准确性</w:t>
            </w:r>
          </w:p>
          <w:p w:rsidR="00FB618C" w:rsidRDefault="00722624">
            <w:pPr>
              <w:ind w:rightChars="-1" w:right="-2"/>
            </w:pPr>
            <w:r>
              <w:t>对于超过额定输出功率的</w:t>
            </w:r>
            <w:r>
              <w:t>10%</w:t>
            </w:r>
            <w:r>
              <w:t>的输出功率，作为负载电阻和输出控制设定函数的实际输出功率与</w:t>
            </w:r>
            <w:r>
              <w:t>201.7.9.3.1</w:t>
            </w:r>
            <w:r>
              <w:t>所规定的图示值偏差不应超出</w:t>
            </w:r>
            <w:r>
              <w:t>±20%</w:t>
            </w:r>
            <w:r>
              <w:t>。</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201.12.1.102</w:t>
            </w:r>
            <w:r>
              <w:t xml:space="preserve">　输出控制设定的单调性</w:t>
            </w:r>
          </w:p>
          <w:p w:rsidR="00FB618C" w:rsidRDefault="00722624">
            <w:pPr>
              <w:ind w:rightChars="-1" w:right="-2"/>
            </w:pPr>
            <w:r>
              <w:t>输出功率不应随输出控制设定的下降而升高（见</w:t>
            </w:r>
            <w:r>
              <w:t>201.7.9.3.1</w:t>
            </w:r>
            <w:r>
              <w:t>、图</w:t>
            </w:r>
            <w:r>
              <w:t>201.109</w:t>
            </w:r>
            <w:r>
              <w:t>和图</w:t>
            </w:r>
            <w:r>
              <w:t>201.110</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201.12.1.103</w:t>
            </w:r>
            <w:r>
              <w:t>最大输出电压的准确性</w:t>
            </w:r>
          </w:p>
          <w:p w:rsidR="00FB618C" w:rsidRDefault="00722624">
            <w:pPr>
              <w:ind w:rightChars="-1" w:right="-2"/>
            </w:pPr>
            <w:r>
              <w:t>对于高频手术设备可用的每一个高频手术模式，施加于手术输出端子上的最大输出电压不应超过</w:t>
            </w:r>
            <w:r>
              <w:t>201.7.9.3.1</w:t>
            </w:r>
            <w:r>
              <w:t>中规定的值。</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201.12.2ME</w:t>
            </w:r>
            <w:r>
              <w:t>设备的可用性</w:t>
            </w:r>
          </w:p>
          <w:p w:rsidR="00FB618C" w:rsidRDefault="00722624">
            <w:pPr>
              <w:autoSpaceDE w:val="0"/>
              <w:autoSpaceDN w:val="0"/>
              <w:jc w:val="left"/>
            </w:pPr>
            <w:r>
              <w:t>增补：</w:t>
            </w:r>
          </w:p>
          <w:p w:rsidR="00FB618C" w:rsidRDefault="00722624">
            <w:pPr>
              <w:ind w:rightChars="-1" w:right="-2"/>
            </w:pPr>
            <w:r>
              <w:t>a</w:t>
            </w:r>
            <w:r>
              <w:t>）如果使用一个双踏板脚踏开关组件来选择切和凝输出模式，则应设计成：按操作者方向观察，左踏板启动切，右踏板启动凝。</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b</w:t>
            </w:r>
            <w:r>
              <w:t>）如果在一个手术手柄上装有独立而分开的指揿开关来选择性地启动切和凝高频手术模式，那么启动切的开关应比另一个开关更靠近手术电极。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c</w:t>
            </w:r>
            <w:r>
              <w:t>）应不能同时激励一个以上手术输出端子，除非：</w:t>
            </w:r>
          </w:p>
          <w:p w:rsidR="00FB618C" w:rsidRDefault="00722624">
            <w:pPr>
              <w:ind w:rightChars="-1" w:right="-2"/>
            </w:pPr>
            <w:r>
              <w:t>1</w:t>
            </w:r>
            <w:r>
              <w:t>）每一个手术输出端子具有独立的控制装置来选择高频手术模式、高频输出设定和开关检测器，或者</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2</w:t>
            </w:r>
            <w:r>
              <w:t>）两个单极手术输出端子具有各自的开关检测器并且分担一个公用的电灼（面凝）输出。</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d</w:t>
            </w:r>
            <w:r>
              <w:t>）同时启动时的提示声响应不同于单个启动时的声响</w:t>
            </w:r>
            <w:r>
              <w:t>(</w:t>
            </w:r>
            <w:r>
              <w:t>还可参见</w:t>
            </w:r>
            <w:r>
              <w:t>201.12.4.2.101)</w:t>
            </w:r>
            <w:r>
              <w:t>。除了被操作者启动的那个患者电路之外，任何其他的患者电路绝对不应被激励到</w:t>
            </w:r>
            <w:r>
              <w:t>201.8.7.3.101 c</w:t>
            </w:r>
            <w:r>
              <w:t>）中规定的水平之上。</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716"/>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123</w:t>
            </w:r>
          </w:p>
        </w:tc>
        <w:tc>
          <w:tcPr>
            <w:tcW w:w="1077" w:type="dxa"/>
            <w:vMerge w:val="restart"/>
          </w:tcPr>
          <w:p w:rsidR="00FB618C" w:rsidRDefault="00722624">
            <w:pPr>
              <w:ind w:left="1" w:rightChars="-1" w:right="-2" w:hanging="1"/>
            </w:pPr>
            <w:r>
              <w:t>控制器和仪表的准确性和危险输出的防护</w:t>
            </w:r>
          </w:p>
        </w:tc>
        <w:tc>
          <w:tcPr>
            <w:tcW w:w="714" w:type="dxa"/>
            <w:vMerge w:val="restart"/>
          </w:tcPr>
          <w:p w:rsidR="00FB618C" w:rsidRDefault="00722624">
            <w:pPr>
              <w:jc w:val="center"/>
            </w:pPr>
            <w:r>
              <w:rPr>
                <w:lang w:bidi="zh-TW"/>
              </w:rPr>
              <w:t>201.12</w:t>
            </w:r>
          </w:p>
        </w:tc>
        <w:tc>
          <w:tcPr>
            <w:tcW w:w="4495" w:type="dxa"/>
            <w:gridSpan w:val="2"/>
          </w:tcPr>
          <w:p w:rsidR="00FB618C" w:rsidRDefault="00722624">
            <w:r>
              <w:t>e</w:t>
            </w:r>
            <w:r>
              <w:t>）高频手术设备和附属设备上的手术输出端子在结构、外形上应明显不同，以使单极手术附件、中性电极和双极手术附件不能错误连接。</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736"/>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f</w:t>
            </w:r>
            <w:r>
              <w:t>）具有一个以上插脚的手术连接器应有永久固定的脚距，禁止</w:t>
            </w:r>
            <w:r>
              <w:t>“</w:t>
            </w:r>
            <w:r>
              <w:t>飞线</w:t>
            </w:r>
            <w:r>
              <w:t>”</w:t>
            </w:r>
            <w:r>
              <w:t>连接。</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1089"/>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g</w:t>
            </w:r>
            <w:r>
              <w:t>）如果多于一个高频手术模式可被单个开关检测器激励，在被激励输出前，应提供一个指示以表明被选中的高频手术模式。</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394"/>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jc w:val="left"/>
            </w:pPr>
            <w:r>
              <w:rPr>
                <w:rFonts w:hint="eastAsia"/>
              </w:rPr>
              <w:t xml:space="preserve">201.12.4 </w:t>
            </w:r>
            <w:r>
              <w:rPr>
                <w:rFonts w:hint="eastAsia"/>
              </w:rPr>
              <w:t>危险输出的防护</w:t>
            </w:r>
          </w:p>
          <w:p w:rsidR="00FB618C" w:rsidRDefault="00722624">
            <w:pPr>
              <w:jc w:val="left"/>
            </w:pPr>
            <w:r>
              <w:t>201.12.4.101</w:t>
            </w:r>
            <w:r>
              <w:t>大电流模式的使用</w:t>
            </w:r>
          </w:p>
          <w:p w:rsidR="00FB618C" w:rsidRDefault="00722624">
            <w:pPr>
              <w:ind w:rightChars="-1" w:right="-2"/>
            </w:pPr>
            <w:r>
              <w:t>高频手术设备应提供一种方法，在大电流模式下，使用具有足够电流承载能力的中性电极，确保无不可接受的温升。在此过程中，</w:t>
            </w:r>
            <w:r>
              <w:t>201.15.101</w:t>
            </w:r>
            <w:r>
              <w:t>的要求应在风险管理文档中对大电流模式情况具体分析。该要求应被认为是一个基本性能要求。</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326"/>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spacing w:line="264" w:lineRule="auto"/>
              <w:jc w:val="left"/>
            </w:pPr>
            <w:r>
              <w:t>201.12.4.2</w:t>
            </w:r>
            <w:r>
              <w:t>有关安全的指示</w:t>
            </w:r>
          </w:p>
          <w:p w:rsidR="00FB618C" w:rsidRDefault="00722624">
            <w:pPr>
              <w:autoSpaceDE w:val="0"/>
              <w:autoSpaceDN w:val="0"/>
              <w:spacing w:line="264" w:lineRule="auto"/>
              <w:jc w:val="left"/>
            </w:pPr>
            <w:r>
              <w:t>增补：</w:t>
            </w:r>
          </w:p>
          <w:p w:rsidR="00FB618C" w:rsidRDefault="00722624">
            <w:pPr>
              <w:spacing w:line="264" w:lineRule="auto"/>
              <w:ind w:rightChars="-1" w:right="-2"/>
            </w:pPr>
            <w:r>
              <w:t>如果任何高频手术模式，包括各个独立输出（如可用）被同时启动时，每一个输出端接入额定负载的总输出功率，在任何</w:t>
            </w:r>
            <w:r>
              <w:t>1s</w:t>
            </w:r>
            <w:r>
              <w:t>时间内平均超过</w:t>
            </w:r>
            <w:r>
              <w:t>400W</w:t>
            </w:r>
            <w:r>
              <w:t>，那么风险管理文档中应给出潜在危险的特殊考虑，特别是关于中性电极。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spacing w:line="264" w:lineRule="auto"/>
              <w:jc w:val="left"/>
            </w:pPr>
            <w:r>
              <w:t>201.12.4.2.101</w:t>
            </w:r>
            <w:r>
              <w:t>输出指示器</w:t>
            </w:r>
          </w:p>
          <w:p w:rsidR="00FB618C" w:rsidRDefault="00722624">
            <w:pPr>
              <w:spacing w:line="264" w:lineRule="auto"/>
              <w:ind w:rightChars="-1" w:right="-2"/>
            </w:pPr>
            <w:r>
              <w:t>高频手术设备应配备一指示器，当任何输出电路由于一个开关检测器的工作或者因一个单一故障状态而被激励时提供一个可听的（声响提示）信号。声音输出的主要能量应包含在</w:t>
            </w:r>
            <w:r>
              <w:t>100Hz~3</w:t>
            </w:r>
            <w:r>
              <w:rPr>
                <w:rFonts w:hint="eastAsia"/>
              </w:rPr>
              <w:t>k</w:t>
            </w:r>
            <w:r>
              <w:t>Hz</w:t>
            </w:r>
            <w:r>
              <w:t>的频段内，</w:t>
            </w:r>
            <w:r>
              <w:t xml:space="preserve"> </w:t>
            </w:r>
          </w:p>
          <w:p w:rsidR="00FB618C" w:rsidRDefault="00722624">
            <w:pPr>
              <w:spacing w:line="264" w:lineRule="auto"/>
              <w:ind w:rightChars="-1" w:right="-2"/>
              <w:jc w:val="right"/>
            </w:pPr>
            <w:r>
              <w:t>单位：</w:t>
            </w:r>
            <w:r>
              <w:t>kHz</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64" w:lineRule="auto"/>
              <w:ind w:rightChars="-1" w:right="-2"/>
            </w:pPr>
            <w:r>
              <w:t>根据制造商规定的方向上离高频手术设备</w:t>
            </w:r>
            <w:r>
              <w:t>1m</w:t>
            </w:r>
            <w:r>
              <w:t>距离处，声源产生的声级至少应为</w:t>
            </w:r>
            <w:r>
              <w:t>65dB(A</w:t>
            </w:r>
            <w:r>
              <w:t>计权）。</w:t>
            </w:r>
          </w:p>
          <w:p w:rsidR="00FB618C" w:rsidRDefault="00722624">
            <w:pPr>
              <w:spacing w:line="264" w:lineRule="auto"/>
              <w:ind w:rightChars="-1" w:right="-2"/>
              <w:jc w:val="right"/>
            </w:pPr>
            <w:r>
              <w:t>单位：</w:t>
            </w:r>
            <w:r>
              <w:t>dB(A)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spacing w:line="264" w:lineRule="auto"/>
              <w:ind w:rightChars="-1" w:right="-2"/>
            </w:pPr>
            <w:r>
              <w:t>可配备一个可触及的声级控制器，但不应将声级降到</w:t>
            </w:r>
            <w:r>
              <w:t>40dB</w:t>
            </w:r>
            <w:r>
              <w:t>（</w:t>
            </w:r>
            <w:r>
              <w:t>A</w:t>
            </w:r>
            <w:r>
              <w:t>计权）以下。</w:t>
            </w:r>
          </w:p>
          <w:p w:rsidR="00FB618C" w:rsidRDefault="00722624">
            <w:pPr>
              <w:spacing w:line="264" w:lineRule="auto"/>
              <w:ind w:rightChars="-1" w:right="-2"/>
              <w:jc w:val="right"/>
            </w:pPr>
            <w:r>
              <w:t>单位：</w:t>
            </w:r>
            <w:r>
              <w:t>dB(A)</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123</w:t>
            </w:r>
          </w:p>
        </w:tc>
        <w:tc>
          <w:tcPr>
            <w:tcW w:w="1077" w:type="dxa"/>
            <w:vMerge w:val="restart"/>
          </w:tcPr>
          <w:p w:rsidR="00FB618C" w:rsidRDefault="00722624">
            <w:pPr>
              <w:ind w:left="1" w:rightChars="-1" w:right="-2" w:hanging="1"/>
            </w:pPr>
            <w:r>
              <w:t>控制器和仪表的准确性和危险输出的防护</w:t>
            </w:r>
          </w:p>
        </w:tc>
        <w:tc>
          <w:tcPr>
            <w:tcW w:w="714" w:type="dxa"/>
            <w:vMerge w:val="restart"/>
          </w:tcPr>
          <w:p w:rsidR="00FB618C" w:rsidRDefault="00722624">
            <w:pPr>
              <w:jc w:val="center"/>
            </w:pPr>
            <w:r>
              <w:rPr>
                <w:lang w:bidi="zh-TW"/>
              </w:rPr>
              <w:t>201.12</w:t>
            </w:r>
          </w:p>
        </w:tc>
        <w:tc>
          <w:tcPr>
            <w:tcW w:w="4495" w:type="dxa"/>
            <w:gridSpan w:val="2"/>
          </w:tcPr>
          <w:p w:rsidR="00FB618C" w:rsidRDefault="00722624">
            <w:pPr>
              <w:ind w:rightChars="-1" w:right="-2"/>
            </w:pPr>
            <w:r>
              <w:t>对于模拟启动，还可参见</w:t>
            </w:r>
            <w:r>
              <w:t>201.12.2d</w:t>
            </w:r>
            <w:r>
              <w:t>）。</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为了使操作者能区分</w:t>
            </w:r>
            <w:r>
              <w:t>201.8.4.101</w:t>
            </w:r>
            <w:r>
              <w:t>所述可听报警和以上规定的可听信号，应将前者制成脉动式的或者使用两种不同的频率</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201.12.4.3.101</w:t>
            </w:r>
            <w:r>
              <w:t>输出降低的方法</w:t>
            </w:r>
            <w:r>
              <w:t xml:space="preserve"> </w:t>
            </w:r>
          </w:p>
          <w:p w:rsidR="00FB618C" w:rsidRDefault="00722624">
            <w:pPr>
              <w:ind w:rightChars="-1" w:right="-2"/>
            </w:pPr>
            <w:r>
              <w:t>对于每一个高频手术模式，除了</w:t>
            </w:r>
            <w:r>
              <w:t>201.7.9.2.2.101a</w:t>
            </w:r>
            <w:r>
              <w:t>）和</w:t>
            </w:r>
            <w:r>
              <w:t>201.7.9.3.1</w:t>
            </w:r>
            <w:r>
              <w:t>所提要求外，高频手术设备应配备一个装置（输出控制器）以使输出功率可降到额定输出功率的</w:t>
            </w:r>
            <w:r>
              <w:t>5%</w:t>
            </w:r>
            <w:r>
              <w:t>或</w:t>
            </w:r>
            <w:r>
              <w:t>10W</w:t>
            </w:r>
            <w:r>
              <w:t>以下，取其较小者（还可参见</w:t>
            </w:r>
            <w:r>
              <w:t>201.12.1.102</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201.12.4.4.101 </w:t>
            </w:r>
            <w:r>
              <w:t>单一故障状态下最大允许输出功率</w:t>
            </w:r>
          </w:p>
          <w:p w:rsidR="00FB618C" w:rsidRDefault="00722624">
            <w:pPr>
              <w:ind w:rightChars="-1" w:right="-2"/>
            </w:pPr>
            <w:r>
              <w:t>额定输出功率大于</w:t>
            </w:r>
            <w:r>
              <w:t>50W</w:t>
            </w:r>
            <w:r>
              <w:t>的单极高频手术设备和所有高频手术设备的双极输出都应配备一个报警和</w:t>
            </w:r>
            <w:r>
              <w:t>/</w:t>
            </w:r>
            <w:r>
              <w:t>或连锁系统，来指示和</w:t>
            </w:r>
            <w:r>
              <w:t>/</w:t>
            </w:r>
            <w:r>
              <w:t>或防止输出功率相对于输出设定的明显增加。</w:t>
            </w:r>
            <w:r>
              <w:t xml:space="preserve"> </w:t>
            </w:r>
            <w:r>
              <w:t>在单一故障状态下，最大允许输出功率应对每一个患者电路和工作模式分别计算。</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 xml:space="preserve">201.12.4.4.102 </w:t>
            </w:r>
            <w:r>
              <w:t>同时激活期间的输出功率</w:t>
            </w:r>
            <w:r>
              <w:t xml:space="preserve"> </w:t>
            </w:r>
          </w:p>
          <w:p w:rsidR="00FB618C" w:rsidRDefault="00722624">
            <w:pPr>
              <w:ind w:rightChars="-1" w:right="-2"/>
            </w:pPr>
            <w:r>
              <w:t>对于可同时启动多于一个以上患者电路（参见</w:t>
            </w:r>
            <w:r>
              <w:t>201.12.2</w:t>
            </w:r>
            <w:r>
              <w:t>）的高频手术设备，当这些患者电路在任何</w:t>
            </w:r>
            <w:r>
              <w:t xml:space="preserve"> </w:t>
            </w:r>
            <w:r>
              <w:t>可用的高频手术模式组合下同时启动时，其释放的输出功率不得超过</w:t>
            </w:r>
            <w:r>
              <w:t>201.12.1.101</w:t>
            </w:r>
            <w:r>
              <w:t>规定的偏差</w:t>
            </w:r>
            <w:r>
              <w:t>20%</w:t>
            </w:r>
            <w:r>
              <w:t>。任何单独启动的患者电路应符合</w:t>
            </w:r>
            <w:r>
              <w:t>201.12.1.101</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tcPr>
          <w:p w:rsidR="00FB618C" w:rsidRDefault="00FB618C">
            <w:pPr>
              <w:numPr>
                <w:ilvl w:val="0"/>
                <w:numId w:val="4"/>
              </w:numPr>
              <w:adjustRightInd w:val="0"/>
              <w:jc w:val="center"/>
              <w:textAlignment w:val="baseline"/>
            </w:pPr>
          </w:p>
        </w:tc>
        <w:tc>
          <w:tcPr>
            <w:tcW w:w="1077" w:type="dxa"/>
          </w:tcPr>
          <w:p w:rsidR="00FB618C" w:rsidRDefault="00722624">
            <w:pPr>
              <w:ind w:left="1" w:rightChars="-1" w:right="-2" w:hanging="1"/>
            </w:pPr>
            <w:r>
              <w:t>ME</w:t>
            </w:r>
            <w:r>
              <w:t>设备危险情况和故障状态</w:t>
            </w:r>
          </w:p>
        </w:tc>
        <w:tc>
          <w:tcPr>
            <w:tcW w:w="714" w:type="dxa"/>
          </w:tcPr>
          <w:p w:rsidR="00FB618C" w:rsidRDefault="00722624">
            <w:pPr>
              <w:jc w:val="center"/>
            </w:pPr>
            <w:r>
              <w:rPr>
                <w:lang w:bidi="zh-TW"/>
              </w:rPr>
              <w:t>201.13</w:t>
            </w:r>
          </w:p>
        </w:tc>
        <w:tc>
          <w:tcPr>
            <w:tcW w:w="4495" w:type="dxa"/>
            <w:gridSpan w:val="2"/>
          </w:tcPr>
          <w:p w:rsidR="00FB618C" w:rsidRDefault="00722624">
            <w:pPr>
              <w:autoSpaceDE w:val="0"/>
              <w:autoSpaceDN w:val="0"/>
              <w:jc w:val="left"/>
            </w:pPr>
            <w:r>
              <w:t>201.13.2.13.101</w:t>
            </w:r>
            <w:r>
              <w:t>电极短路影响的防止</w:t>
            </w:r>
            <w:r>
              <w:t xml:space="preserve"> </w:t>
            </w:r>
          </w:p>
          <w:p w:rsidR="00FB618C" w:rsidRDefault="00722624">
            <w:pPr>
              <w:ind w:rightChars="-1" w:right="-2"/>
            </w:pPr>
            <w:r>
              <w:t>高频手术设备在最大输出设定下激励时，应能无损伤地承受输出开路和短路的影响。</w:t>
            </w:r>
          </w:p>
        </w:tc>
        <w:tc>
          <w:tcPr>
            <w:tcW w:w="1080" w:type="dxa"/>
            <w:vAlign w:val="center"/>
          </w:tcPr>
          <w:p w:rsidR="00FB618C" w:rsidRDefault="00FB618C">
            <w:pPr>
              <w:ind w:leftChars="-51" w:left="-107" w:rightChars="-51" w:right="-107"/>
              <w:jc w:val="center"/>
            </w:pPr>
          </w:p>
        </w:tc>
        <w:tc>
          <w:tcPr>
            <w:tcW w:w="1082" w:type="dxa"/>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ME</w:t>
            </w:r>
            <w:r>
              <w:t>设备的结构</w:t>
            </w:r>
          </w:p>
        </w:tc>
        <w:tc>
          <w:tcPr>
            <w:tcW w:w="714" w:type="dxa"/>
            <w:vMerge w:val="restart"/>
          </w:tcPr>
          <w:p w:rsidR="00FB618C" w:rsidRDefault="00722624">
            <w:pPr>
              <w:jc w:val="center"/>
            </w:pPr>
            <w:r>
              <w:rPr>
                <w:lang w:bidi="zh-TW"/>
              </w:rPr>
              <w:t>201.15</w:t>
            </w:r>
          </w:p>
        </w:tc>
        <w:tc>
          <w:tcPr>
            <w:tcW w:w="4495" w:type="dxa"/>
            <w:gridSpan w:val="2"/>
          </w:tcPr>
          <w:p w:rsidR="00FB618C" w:rsidRDefault="00722624">
            <w:pPr>
              <w:autoSpaceDE w:val="0"/>
              <w:autoSpaceDN w:val="0"/>
              <w:jc w:val="left"/>
            </w:pPr>
            <w:r>
              <w:rPr>
                <w:rFonts w:hint="eastAsia"/>
              </w:rPr>
              <w:t xml:space="preserve">201.15.4.1 </w:t>
            </w:r>
            <w:r>
              <w:rPr>
                <w:rFonts w:hint="eastAsia"/>
              </w:rPr>
              <w:t>连接器的构造</w:t>
            </w:r>
          </w:p>
          <w:p w:rsidR="00FB618C" w:rsidRDefault="00722624">
            <w:pPr>
              <w:autoSpaceDE w:val="0"/>
              <w:autoSpaceDN w:val="0"/>
              <w:jc w:val="left"/>
            </w:pPr>
            <w:r>
              <w:t>201.15.4.1.101</w:t>
            </w:r>
            <w:r>
              <w:t>第三方提供的手术电极的兼容性</w:t>
            </w:r>
          </w:p>
          <w:p w:rsidR="00FB618C" w:rsidRDefault="00722624">
            <w:pPr>
              <w:ind w:rightChars="-1" w:right="-2"/>
            </w:pPr>
            <w:r>
              <w:t>带有可拆卸手术电极的手术附件制造商应对预期加接到手术附件上去的任何手术电极配件给出尺寸及其精度要求。</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带有可拆卸手术电极的手术附件制造商应在随机文件中规定预期可兼容的手术电极。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201.15.4.1.102</w:t>
            </w:r>
            <w:r>
              <w:t>可拆卸手术电极的拆卸力</w:t>
            </w:r>
            <w:r>
              <w:t xml:space="preserve"> </w:t>
            </w:r>
          </w:p>
          <w:p w:rsidR="00FB618C" w:rsidRDefault="00722624">
            <w:pPr>
              <w:ind w:rightChars="-1" w:right="-2"/>
            </w:pPr>
            <w:r>
              <w:t>可拆卸手术电极制造商应在手术附件的随机文件中规定其预期用途。</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125</w:t>
            </w:r>
          </w:p>
        </w:tc>
        <w:tc>
          <w:tcPr>
            <w:tcW w:w="1077" w:type="dxa"/>
            <w:vMerge w:val="restart"/>
          </w:tcPr>
          <w:p w:rsidR="00FB618C" w:rsidRDefault="00722624">
            <w:pPr>
              <w:ind w:left="1" w:rightChars="-1" w:right="-2" w:hanging="1"/>
            </w:pPr>
            <w:r>
              <w:t>ME</w:t>
            </w:r>
            <w:r>
              <w:t>设备的结构</w:t>
            </w:r>
          </w:p>
        </w:tc>
        <w:tc>
          <w:tcPr>
            <w:tcW w:w="714" w:type="dxa"/>
            <w:vMerge w:val="restart"/>
          </w:tcPr>
          <w:p w:rsidR="00FB618C" w:rsidRDefault="00722624">
            <w:pPr>
              <w:jc w:val="center"/>
            </w:pPr>
            <w:r>
              <w:rPr>
                <w:lang w:bidi="zh-TW"/>
              </w:rPr>
              <w:t>201.15</w:t>
            </w:r>
          </w:p>
        </w:tc>
        <w:tc>
          <w:tcPr>
            <w:tcW w:w="4495" w:type="dxa"/>
            <w:gridSpan w:val="2"/>
          </w:tcPr>
          <w:p w:rsidR="00FB618C" w:rsidRDefault="00722624">
            <w:pPr>
              <w:ind w:rightChars="-1" w:right="-2"/>
            </w:pPr>
            <w:r>
              <w:t>可拆卸手术电极应能牢固地装入规定的手术附件。</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在可拆卸手术电极插入规定的手术附件的情况下，其组件应符合本文件其他所有适用的要求。</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w:t>
            </w:r>
            <w:r>
              <w:t>中性电极</w:t>
            </w:r>
          </w:p>
          <w:p w:rsidR="00FB618C" w:rsidRDefault="00722624">
            <w:pPr>
              <w:autoSpaceDE w:val="0"/>
              <w:autoSpaceDN w:val="0"/>
              <w:jc w:val="left"/>
            </w:pPr>
            <w:r>
              <w:t>201.15.101.1</w:t>
            </w:r>
            <w:r>
              <w:t>中性电极的通用要求</w:t>
            </w:r>
            <w:r>
              <w:t xml:space="preserve"> </w:t>
            </w:r>
          </w:p>
          <w:p w:rsidR="00FB618C" w:rsidRDefault="00722624">
            <w:pPr>
              <w:ind w:rightChars="-1" w:right="-2"/>
            </w:pPr>
            <w:r>
              <w:t>除了仅预期与一个双极附件连接的任何患者电路之外，额定输出功率超过</w:t>
            </w:r>
            <w:r>
              <w:t>50W</w:t>
            </w:r>
            <w:r>
              <w:t>的高频手术设备</w:t>
            </w:r>
            <w:r>
              <w:t xml:space="preserve"> </w:t>
            </w:r>
            <w:r>
              <w:t>应配备一个中性电极连接。</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201.15.101.2</w:t>
            </w:r>
            <w:r>
              <w:t>中性电极电缆的连接</w:t>
            </w:r>
            <w:r>
              <w:t xml:space="preserve"> </w:t>
            </w:r>
          </w:p>
          <w:p w:rsidR="00FB618C" w:rsidRDefault="00722624">
            <w:pPr>
              <w:ind w:rightChars="-1" w:right="-2"/>
            </w:pPr>
            <w:r>
              <w:t>中性电极应与其电缆牢固连接，除了可监测中性电极以外，用于电极电缆及其连接器的电气连续性监测的电流应流过电极的截面。</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201.15.101.3 </w:t>
            </w:r>
            <w:r>
              <w:t>中性电极电缆的连接器</w:t>
            </w:r>
            <w:r>
              <w:t xml:space="preserve"> </w:t>
            </w:r>
          </w:p>
          <w:p w:rsidR="00FB618C" w:rsidRDefault="00722624">
            <w:pPr>
              <w:ind w:rightChars="-1" w:right="-2"/>
            </w:pPr>
            <w:r>
              <w:t>用于中性电极电缆与可拆卸中性电极连接的电气接头应设计成：在与中性电极意外分离事件中，接头的导电部分应不能接触到患者身体。</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201.15.101.4</w:t>
            </w:r>
            <w:r>
              <w:t>中性电极电缆的绝缘</w:t>
            </w:r>
            <w:r>
              <w:t xml:space="preserve"> </w:t>
            </w:r>
          </w:p>
          <w:p w:rsidR="00FB618C" w:rsidRDefault="00722624">
            <w:pPr>
              <w:ind w:rightChars="-1" w:right="-2"/>
            </w:pPr>
            <w:r>
              <w:t>中性电极电缆的绝缘应足以防止对患者和操作者产生灼伤。</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201.15.101.5</w:t>
            </w:r>
            <w:r>
              <w:t>中性电极的热性能</w:t>
            </w:r>
          </w:p>
          <w:p w:rsidR="00FB618C" w:rsidRDefault="00722624">
            <w:pPr>
              <w:ind w:rightChars="-1" w:right="-2"/>
            </w:pPr>
            <w:r>
              <w:t>按使用说明书在正常使用状态下应用时，中性电极不应使患者接触部位受到热损伤风险。</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201.15.101.6</w:t>
            </w:r>
            <w:r>
              <w:t>中性电极的接触阻抗</w:t>
            </w:r>
          </w:p>
          <w:p w:rsidR="00FB618C" w:rsidRDefault="00722624">
            <w:pPr>
              <w:autoSpaceDE w:val="0"/>
              <w:autoSpaceDN w:val="0"/>
              <w:jc w:val="left"/>
            </w:pPr>
            <w:r>
              <w:t>在中性电极应用部位表面和中性电极电缆的连接（距中性电极导电表面的连接处</w:t>
            </w:r>
            <w:r>
              <w:t>5cm</w:t>
            </w:r>
            <w:r>
              <w:t>内）之间的电气接触阻抗应足够低，以防止流通高频手术电流时产生欧姆热引起灼伤患者的风险。</w:t>
            </w:r>
          </w:p>
          <w:p w:rsidR="00FB618C" w:rsidRDefault="00722624">
            <w:pPr>
              <w:ind w:rightChars="-1" w:right="-2"/>
            </w:pPr>
            <w:r>
              <w:t>在</w:t>
            </w:r>
            <w:r>
              <w:t>200KHz~5MHz</w:t>
            </w:r>
            <w:r>
              <w:t>频率范围内，导电性中性电极接触阻抗应不超过</w:t>
            </w:r>
            <w:r>
              <w:t>50Ω</w:t>
            </w:r>
            <w:r>
              <w:t>，</w:t>
            </w:r>
          </w:p>
          <w:p w:rsidR="00FB618C" w:rsidRDefault="00722624">
            <w:pPr>
              <w:ind w:rightChars="-1" w:right="-2"/>
              <w:jc w:val="right"/>
            </w:pPr>
            <w:r>
              <w:t>单位：</w:t>
            </w:r>
            <w:r>
              <w:t>Ω</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电容性中性电极接触电容应不低于</w:t>
            </w:r>
            <w:r>
              <w:t>4nF</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autoSpaceDE w:val="0"/>
              <w:autoSpaceDN w:val="0"/>
              <w:jc w:val="left"/>
            </w:pPr>
            <w:r>
              <w:t>201.15.101.7</w:t>
            </w:r>
            <w:r>
              <w:t>中性电极的粘附</w:t>
            </w:r>
          </w:p>
          <w:p w:rsidR="00FB618C" w:rsidRDefault="00722624">
            <w:pPr>
              <w:ind w:rightChars="-1" w:right="-2"/>
            </w:pPr>
            <w:r>
              <w:t>对于中性电极，除可监测中性电极的和标记用于患者重量小于</w:t>
            </w:r>
            <w:r>
              <w:t>15kg</w:t>
            </w:r>
            <w:r>
              <w:t>的中性电极之外，如果使用说明书指明中性电极要粘贴到患者身上，粘胶剥离强度在预期的使用状态下应足以保证接触的安全程度。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722624">
            <w:pPr>
              <w:tabs>
                <w:tab w:val="left" w:pos="420"/>
              </w:tabs>
              <w:adjustRightInd w:val="0"/>
              <w:textAlignment w:val="baseline"/>
            </w:pPr>
            <w:r>
              <w:lastRenderedPageBreak/>
              <w:t>续</w:t>
            </w:r>
            <w:r>
              <w:rPr>
                <w:rFonts w:hint="eastAsia"/>
              </w:rPr>
              <w:t>125</w:t>
            </w:r>
          </w:p>
        </w:tc>
        <w:tc>
          <w:tcPr>
            <w:tcW w:w="1077" w:type="dxa"/>
            <w:vMerge w:val="restart"/>
          </w:tcPr>
          <w:p w:rsidR="00FB618C" w:rsidRDefault="00722624">
            <w:pPr>
              <w:ind w:left="1" w:rightChars="-1" w:right="-2" w:hanging="1"/>
            </w:pPr>
            <w:r>
              <w:t>ME</w:t>
            </w:r>
            <w:r>
              <w:t>设备的结构</w:t>
            </w:r>
          </w:p>
        </w:tc>
        <w:tc>
          <w:tcPr>
            <w:tcW w:w="714" w:type="dxa"/>
            <w:vMerge w:val="restart"/>
          </w:tcPr>
          <w:p w:rsidR="00FB618C" w:rsidRDefault="00722624">
            <w:pPr>
              <w:jc w:val="center"/>
            </w:pPr>
            <w:r>
              <w:rPr>
                <w:lang w:bidi="zh-TW"/>
              </w:rPr>
              <w:t xml:space="preserve">201.15 </w:t>
            </w:r>
          </w:p>
        </w:tc>
        <w:tc>
          <w:tcPr>
            <w:tcW w:w="4495" w:type="dxa"/>
            <w:gridSpan w:val="2"/>
          </w:tcPr>
          <w:p w:rsidR="00FB618C" w:rsidRDefault="00722624">
            <w:pPr>
              <w:ind w:rightChars="-1" w:right="-2"/>
            </w:pPr>
            <w:r>
              <w:t>201.15.101.8 </w:t>
            </w:r>
            <w:r>
              <w:t>中性电极的货架寿命</w:t>
            </w:r>
            <w:r>
              <w:t xml:space="preserve"> </w:t>
            </w:r>
            <w:r>
              <w:t>标记为一次性使用的中性电极在其制造商规定的有效期内，应符合</w:t>
            </w:r>
            <w:r>
              <w:t>201.15.101.5</w:t>
            </w:r>
            <w:r>
              <w:t>至</w:t>
            </w:r>
            <w:r>
              <w:t>201.15.101.7</w:t>
            </w:r>
            <w:r>
              <w:t>中的要求。试样可根据其使用说明书从实际贮存正好要到期的中性电极中抽取，或者通过一个被证明等效于建议贮存条件的加速老化循环获得。</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restart"/>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rPr>
                <w:lang w:bidi="zh-TW"/>
              </w:rPr>
            </w:pPr>
          </w:p>
        </w:tc>
        <w:tc>
          <w:tcPr>
            <w:tcW w:w="4495" w:type="dxa"/>
            <w:gridSpan w:val="2"/>
          </w:tcPr>
          <w:p w:rsidR="00FB618C" w:rsidRDefault="00722624">
            <w:pPr>
              <w:autoSpaceDE w:val="0"/>
              <w:autoSpaceDN w:val="0"/>
              <w:jc w:val="left"/>
            </w:pPr>
            <w:r>
              <w:t>201.15.101.5</w:t>
            </w:r>
            <w:r>
              <w:t>中性电极的热性能</w:t>
            </w:r>
          </w:p>
          <w:p w:rsidR="00FB618C" w:rsidRDefault="00722624">
            <w:pPr>
              <w:ind w:rightChars="-1" w:right="-2"/>
            </w:pPr>
            <w:r>
              <w:t>按使用说明书在正常使用状态下应用时，中性电极不应使患者接触部位受到热损伤风险。</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rPr>
                <w:lang w:bidi="zh-TW"/>
              </w:rPr>
            </w:pPr>
          </w:p>
        </w:tc>
        <w:tc>
          <w:tcPr>
            <w:tcW w:w="4495" w:type="dxa"/>
            <w:gridSpan w:val="2"/>
          </w:tcPr>
          <w:p w:rsidR="00FB618C" w:rsidRDefault="00722624">
            <w:pPr>
              <w:autoSpaceDE w:val="0"/>
              <w:autoSpaceDN w:val="0"/>
              <w:jc w:val="left"/>
            </w:pPr>
            <w:r>
              <w:t>201.15.101.6</w:t>
            </w:r>
            <w:r>
              <w:t>中性电极的接触阻抗</w:t>
            </w:r>
          </w:p>
          <w:p w:rsidR="00FB618C" w:rsidRDefault="00722624">
            <w:pPr>
              <w:autoSpaceDE w:val="0"/>
              <w:autoSpaceDN w:val="0"/>
              <w:jc w:val="left"/>
            </w:pPr>
            <w:r>
              <w:t>在中性电极应用部位表面和中性电极电缆的连接（距中性电极导电表面的连接处</w:t>
            </w:r>
            <w:r>
              <w:t>5cm</w:t>
            </w:r>
            <w:r>
              <w:t>内）之间的电气接触阻抗应足够低，以防止流通高频手术电流时产生欧姆热引起灼伤患者的风险。</w:t>
            </w:r>
          </w:p>
          <w:p w:rsidR="00FB618C" w:rsidRDefault="00722624">
            <w:pPr>
              <w:ind w:rightChars="-1" w:right="-2"/>
            </w:pPr>
            <w:r>
              <w:t>在</w:t>
            </w:r>
            <w:r>
              <w:t>200KHz~5MHz</w:t>
            </w:r>
            <w:r>
              <w:t>频率范围内，导电性中性电极接触阻抗应不超过</w:t>
            </w:r>
            <w:r>
              <w:t>50Ω</w:t>
            </w:r>
            <w:r>
              <w:t>，</w:t>
            </w:r>
          </w:p>
          <w:p w:rsidR="00FB618C" w:rsidRDefault="00722624">
            <w:pPr>
              <w:ind w:rightChars="-1" w:right="-2"/>
              <w:jc w:val="right"/>
            </w:pPr>
            <w:r>
              <w:t>单位：</w:t>
            </w:r>
            <w:r>
              <w:t>Ω</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rPr>
                <w:lang w:bidi="zh-TW"/>
              </w:rPr>
            </w:pPr>
          </w:p>
        </w:tc>
        <w:tc>
          <w:tcPr>
            <w:tcW w:w="4495" w:type="dxa"/>
            <w:gridSpan w:val="2"/>
          </w:tcPr>
          <w:p w:rsidR="00FB618C" w:rsidRDefault="00722624">
            <w:pPr>
              <w:ind w:rightChars="-1" w:right="-2"/>
            </w:pPr>
            <w:r>
              <w:t>电容性中性电极接触电容应不低于</w:t>
            </w:r>
            <w:r>
              <w:t>4nF</w:t>
            </w:r>
            <w:r>
              <w:t>。</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tabs>
                <w:tab w:val="left" w:pos="420"/>
              </w:tabs>
              <w:adjustRightInd w:val="0"/>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rPr>
                <w:lang w:bidi="zh-TW"/>
              </w:rPr>
            </w:pPr>
          </w:p>
        </w:tc>
        <w:tc>
          <w:tcPr>
            <w:tcW w:w="4495" w:type="dxa"/>
            <w:gridSpan w:val="2"/>
          </w:tcPr>
          <w:p w:rsidR="00FB618C" w:rsidRDefault="00722624">
            <w:pPr>
              <w:autoSpaceDE w:val="0"/>
              <w:autoSpaceDN w:val="0"/>
              <w:jc w:val="left"/>
            </w:pPr>
            <w:r>
              <w:t>201.15.101.7</w:t>
            </w:r>
            <w:r>
              <w:t>中性电极的粘附</w:t>
            </w:r>
          </w:p>
          <w:p w:rsidR="00FB618C" w:rsidRDefault="00722624">
            <w:pPr>
              <w:ind w:rightChars="-1" w:right="-2"/>
            </w:pPr>
            <w:r>
              <w:t>对于中性电极，除可监测中性电极的和标记用于患者重量小于</w:t>
            </w:r>
            <w:r>
              <w:t>15kg</w:t>
            </w:r>
            <w:r>
              <w:t>的中性电极之外，如果使用说明书指明中性电极要粘贴到患者身上，粘胶剥离强度在预期的使用状态下应足以保证接触的安全程度。</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 xml:space="preserve">201.15.101.9 </w:t>
            </w:r>
            <w:r>
              <w:t>成人中性电极的常规手术</w:t>
            </w:r>
            <w:r>
              <w:t xml:space="preserve"> </w:t>
            </w:r>
            <w:r>
              <w:t>导电性中性电极预期用于成人患者，因此被批准用于体重超过</w:t>
            </w:r>
            <w:r>
              <w:t>15kg</w:t>
            </w:r>
            <w:r>
              <w:t>的患者时应是可监测中性电极。该要求不适用于使用大电流模式的中性电极。</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val="restart"/>
          </w:tcPr>
          <w:p w:rsidR="00FB618C" w:rsidRDefault="00FB618C">
            <w:pPr>
              <w:numPr>
                <w:ilvl w:val="0"/>
                <w:numId w:val="4"/>
              </w:numPr>
              <w:adjustRightInd w:val="0"/>
              <w:jc w:val="center"/>
              <w:textAlignment w:val="baseline"/>
            </w:pPr>
          </w:p>
        </w:tc>
        <w:tc>
          <w:tcPr>
            <w:tcW w:w="1077" w:type="dxa"/>
            <w:vMerge w:val="restart"/>
          </w:tcPr>
          <w:p w:rsidR="00FB618C" w:rsidRDefault="00722624">
            <w:pPr>
              <w:ind w:left="1" w:rightChars="-1" w:right="-2" w:hanging="1"/>
            </w:pPr>
            <w:r>
              <w:t>医用电气设备和医用电气系统中报警系统的通用要求、试验和指南</w:t>
            </w:r>
          </w:p>
        </w:tc>
        <w:tc>
          <w:tcPr>
            <w:tcW w:w="714" w:type="dxa"/>
            <w:vMerge w:val="restart"/>
          </w:tcPr>
          <w:p w:rsidR="00FB618C" w:rsidRDefault="00722624">
            <w:pPr>
              <w:jc w:val="center"/>
            </w:pPr>
            <w:r>
              <w:t>208</w:t>
            </w:r>
          </w:p>
        </w:tc>
        <w:tc>
          <w:tcPr>
            <w:tcW w:w="4495" w:type="dxa"/>
            <w:gridSpan w:val="2"/>
          </w:tcPr>
          <w:p w:rsidR="00FB618C" w:rsidRDefault="00722624">
            <w:pPr>
              <w:ind w:rightChars="-1" w:right="-2"/>
            </w:pPr>
            <w:r>
              <w:t>除以下内容外，</w:t>
            </w:r>
            <w:r>
              <w:t>YY 9706.108-2021</w:t>
            </w:r>
            <w:r>
              <w:t>适用：</w:t>
            </w:r>
          </w:p>
          <w:p w:rsidR="00FB618C" w:rsidRDefault="00722624">
            <w:pPr>
              <w:ind w:rightChars="-1" w:right="-2"/>
            </w:pPr>
            <w:r>
              <w:t>修改：</w:t>
            </w:r>
          </w:p>
          <w:p w:rsidR="00FB618C" w:rsidRDefault="00722624">
            <w:pPr>
              <w:ind w:rightChars="-1" w:right="-2"/>
            </w:pPr>
            <w:r>
              <w:t>201.8.4.101</w:t>
            </w:r>
            <w:r>
              <w:t>中描述的可听警报和红色警示灯不应被认为是</w:t>
            </w:r>
            <w:r>
              <w:t>YY 9706.108-2021</w:t>
            </w:r>
            <w:r>
              <w:t>中定义的报警信号。</w:t>
            </w:r>
          </w:p>
        </w:tc>
        <w:tc>
          <w:tcPr>
            <w:tcW w:w="1080" w:type="dxa"/>
            <w:vAlign w:val="center"/>
          </w:tcPr>
          <w:p w:rsidR="00FB618C" w:rsidRDefault="00FB618C">
            <w:pPr>
              <w:ind w:leftChars="-51" w:left="-107" w:rightChars="-51" w:right="-107"/>
              <w:jc w:val="center"/>
            </w:pPr>
          </w:p>
        </w:tc>
        <w:tc>
          <w:tcPr>
            <w:tcW w:w="1082" w:type="dxa"/>
            <w:vMerge w:val="restart"/>
            <w:vAlign w:val="center"/>
          </w:tcPr>
          <w:p w:rsidR="00FB618C" w:rsidRDefault="00FB618C">
            <w:pPr>
              <w:jc w:val="center"/>
            </w:pPr>
          </w:p>
        </w:tc>
        <w:tc>
          <w:tcPr>
            <w:tcW w:w="881" w:type="dxa"/>
            <w:vMerge/>
            <w:vAlign w:val="center"/>
          </w:tcPr>
          <w:p w:rsidR="00FB618C" w:rsidRDefault="00FB618C">
            <w:pPr>
              <w:jc w:val="center"/>
            </w:pPr>
          </w:p>
        </w:tc>
      </w:tr>
      <w:tr w:rsidR="00FB618C">
        <w:trPr>
          <w:cantSplit/>
          <w:trHeight w:val="27"/>
          <w:jc w:val="center"/>
        </w:trPr>
        <w:tc>
          <w:tcPr>
            <w:tcW w:w="550" w:type="dxa"/>
            <w:vMerge/>
          </w:tcPr>
          <w:p w:rsidR="00FB618C" w:rsidRDefault="00FB618C">
            <w:pPr>
              <w:numPr>
                <w:ilvl w:val="0"/>
                <w:numId w:val="5"/>
              </w:numPr>
              <w:adjustRightInd w:val="0"/>
              <w:jc w:val="center"/>
              <w:textAlignment w:val="baseline"/>
            </w:pPr>
          </w:p>
        </w:tc>
        <w:tc>
          <w:tcPr>
            <w:tcW w:w="1077" w:type="dxa"/>
            <w:vMerge/>
          </w:tcPr>
          <w:p w:rsidR="00FB618C" w:rsidRDefault="00FB618C">
            <w:pPr>
              <w:ind w:left="1" w:rightChars="-1" w:right="-2" w:hanging="1"/>
            </w:pPr>
          </w:p>
        </w:tc>
        <w:tc>
          <w:tcPr>
            <w:tcW w:w="714" w:type="dxa"/>
            <w:vMerge/>
          </w:tcPr>
          <w:p w:rsidR="00FB618C" w:rsidRDefault="00FB618C">
            <w:pPr>
              <w:jc w:val="center"/>
            </w:pPr>
          </w:p>
        </w:tc>
        <w:tc>
          <w:tcPr>
            <w:tcW w:w="4495" w:type="dxa"/>
            <w:gridSpan w:val="2"/>
          </w:tcPr>
          <w:p w:rsidR="00FB618C" w:rsidRDefault="00722624">
            <w:pPr>
              <w:ind w:rightChars="-1" w:right="-2"/>
            </w:pPr>
            <w:r>
              <w:t>201.12.4.2.101</w:t>
            </w:r>
            <w:r>
              <w:t>中描述的可听（声响提示）信号不应被认为是</w:t>
            </w:r>
            <w:r>
              <w:t>YY 9706.108-2021</w:t>
            </w:r>
            <w:r>
              <w:t>中定义的报警信号。</w:t>
            </w:r>
          </w:p>
        </w:tc>
        <w:tc>
          <w:tcPr>
            <w:tcW w:w="1080" w:type="dxa"/>
            <w:vAlign w:val="center"/>
          </w:tcPr>
          <w:p w:rsidR="00FB618C" w:rsidRDefault="00FB618C">
            <w:pPr>
              <w:ind w:leftChars="-51" w:left="-107" w:rightChars="-51" w:right="-107"/>
              <w:jc w:val="center"/>
            </w:pPr>
          </w:p>
        </w:tc>
        <w:tc>
          <w:tcPr>
            <w:tcW w:w="1082" w:type="dxa"/>
            <w:vMerge/>
            <w:vAlign w:val="center"/>
          </w:tcPr>
          <w:p w:rsidR="00FB618C" w:rsidRDefault="00FB618C">
            <w:pPr>
              <w:jc w:val="center"/>
            </w:pPr>
          </w:p>
        </w:tc>
        <w:tc>
          <w:tcPr>
            <w:tcW w:w="881" w:type="dxa"/>
            <w:vMerge/>
            <w:vAlign w:val="center"/>
          </w:tcPr>
          <w:p w:rsidR="00FB618C" w:rsidRDefault="00FB618C">
            <w:pPr>
              <w:jc w:val="center"/>
            </w:pPr>
          </w:p>
        </w:tc>
      </w:tr>
    </w:tbl>
    <w:p w:rsidR="00FB618C" w:rsidRDefault="00FB618C">
      <w:pPr>
        <w:sectPr w:rsidR="00FB618C">
          <w:headerReference w:type="default" r:id="rId11"/>
          <w:pgSz w:w="11906" w:h="16838"/>
          <w:pgMar w:top="1440" w:right="1020" w:bottom="1440" w:left="1020" w:header="851" w:footer="992" w:gutter="0"/>
          <w:cols w:space="0"/>
          <w:docGrid w:type="lines" w:linePitch="312"/>
        </w:sectPr>
      </w:pPr>
    </w:p>
    <w:p w:rsidR="00FB618C" w:rsidRDefault="00FB618C"/>
    <w:sectPr w:rsidR="00FB618C">
      <w:headerReference w:type="default" r:id="rId12"/>
      <w:pgSz w:w="11906" w:h="16838"/>
      <w:pgMar w:top="1440" w:right="1134" w:bottom="1246" w:left="1134" w:header="1406" w:footer="992" w:gutter="0"/>
      <w:pgNumType w:chapStyle="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24" w:rsidRDefault="00722624">
      <w:r>
        <w:separator/>
      </w:r>
    </w:p>
  </w:endnote>
  <w:endnote w:type="continuationSeparator" w:id="0">
    <w:p w:rsidR="00722624" w:rsidRDefault="0072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emens Serif">
    <w:altName w:val="Segoe Print"/>
    <w:charset w:val="00"/>
    <w:family w:val="auto"/>
    <w:pitch w:val="default"/>
    <w:sig w:usb0="00000000"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24" w:rsidRDefault="00722624">
      <w:r>
        <w:separator/>
      </w:r>
    </w:p>
  </w:footnote>
  <w:footnote w:type="continuationSeparator" w:id="0">
    <w:p w:rsidR="00722624" w:rsidRDefault="0072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C" w:rsidRDefault="00722624">
    <w:pPr>
      <w:jc w:val="center"/>
      <w:rPr>
        <w:rFonts w:ascii="宋体" w:hAnsi="宋体" w:cs="宋体"/>
        <w:b/>
        <w:bCs/>
        <w:sz w:val="40"/>
        <w:szCs w:val="40"/>
      </w:rPr>
    </w:pPr>
    <w:r>
      <w:rPr>
        <w:rFonts w:ascii="宋体" w:hAnsi="宋体" w:cs="宋体" w:hint="eastAsia"/>
        <w:b/>
        <w:bCs/>
        <w:sz w:val="40"/>
        <w:szCs w:val="40"/>
      </w:rPr>
      <w:t>GB9706.202-2021</w:t>
    </w:r>
    <w:r>
      <w:rPr>
        <w:rFonts w:ascii="宋体" w:hAnsi="宋体" w:cs="宋体" w:hint="eastAsia"/>
        <w:b/>
        <w:bCs/>
        <w:sz w:val="40"/>
        <w:szCs w:val="40"/>
      </w:rPr>
      <w:t>检验报告内容模板</w:t>
    </w:r>
  </w:p>
  <w:p w:rsidR="00FB618C" w:rsidRDefault="00FB618C">
    <w:pPr>
      <w:jc w:val="center"/>
      <w:rPr>
        <w:rFonts w:ascii="宋体"/>
        <w:b/>
        <w:bCs/>
        <w:sz w:val="44"/>
        <w:szCs w:val="44"/>
      </w:rPr>
    </w:pPr>
  </w:p>
  <w:p w:rsidR="00FB618C" w:rsidRDefault="00722624" w:rsidP="00D60255">
    <w:pPr>
      <w:spacing w:beforeLines="30" w:before="72"/>
      <w:jc w:val="right"/>
    </w:pPr>
    <w:r>
      <w:t>共</w:t>
    </w:r>
    <w:r>
      <w:t xml:space="preserve"> </w:t>
    </w:r>
    <w:r>
      <w:fldChar w:fldCharType="begin"/>
    </w:r>
    <w:r>
      <w:instrText xml:space="preserve"> =</w:instrText>
    </w:r>
    <w:r>
      <w:rPr>
        <w:sz w:val="18"/>
        <w:szCs w:val="18"/>
      </w:rPr>
      <w:fldChar w:fldCharType="begin"/>
    </w:r>
    <w:r>
      <w:rPr>
        <w:rStyle w:val="aff"/>
        <w:sz w:val="18"/>
        <w:szCs w:val="18"/>
      </w:rPr>
      <w:instrText xml:space="preserve"> NUMPAGES </w:instrText>
    </w:r>
    <w:r>
      <w:rPr>
        <w:sz w:val="18"/>
        <w:szCs w:val="18"/>
      </w:rPr>
      <w:fldChar w:fldCharType="separate"/>
    </w:r>
    <w:r w:rsidR="00D60255">
      <w:rPr>
        <w:rStyle w:val="aff"/>
        <w:noProof/>
        <w:sz w:val="18"/>
        <w:szCs w:val="18"/>
      </w:rPr>
      <w:instrText>21</w:instrText>
    </w:r>
    <w:r>
      <w:rPr>
        <w:sz w:val="18"/>
        <w:szCs w:val="18"/>
      </w:rPr>
      <w:fldChar w:fldCharType="end"/>
    </w:r>
    <w:r>
      <w:instrText>-</w:instrText>
    </w:r>
    <w:r>
      <w:rPr>
        <w:rFonts w:hint="eastAsia"/>
      </w:rPr>
      <w:instrText>2</w:instrText>
    </w:r>
    <w:r>
      <w:instrText xml:space="preserve"> </w:instrText>
    </w:r>
    <w:r>
      <w:fldChar w:fldCharType="separate"/>
    </w:r>
    <w:r w:rsidR="00D60255">
      <w:rPr>
        <w:noProof/>
      </w:rPr>
      <w:t>19</w:t>
    </w:r>
    <w:r>
      <w:fldChar w:fldCharType="end"/>
    </w:r>
    <w:r>
      <w:t xml:space="preserve"> </w:t>
    </w:r>
    <w:r>
      <w:t>页</w:t>
    </w:r>
    <w:r>
      <w:t xml:space="preserve">  </w:t>
    </w:r>
    <w:r>
      <w:t>第</w:t>
    </w:r>
    <w:r>
      <w:t xml:space="preserve"> </w:t>
    </w:r>
    <w:r>
      <w:fldChar w:fldCharType="begin"/>
    </w:r>
    <w:r>
      <w:instrText xml:space="preserve"> PAGE </w:instrText>
    </w:r>
    <w:r>
      <w:fldChar w:fldCharType="separate"/>
    </w:r>
    <w:r w:rsidR="00D60255">
      <w:rPr>
        <w:noProof/>
      </w:rPr>
      <w:t>20</w:t>
    </w:r>
    <w:r>
      <w:fldChar w:fldCharType="end"/>
    </w:r>
    <w:r>
      <w:t xml:space="preserve"> </w:t>
    </w:r>
    <w:r>
      <w:t>页</w:t>
    </w:r>
  </w:p>
  <w:tbl>
    <w:tblPr>
      <w:tblpPr w:leftFromText="181" w:rightFromText="181" w:vertAnchor="page" w:tblpXSpec="center" w:tblpY="224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FB618C">
      <w:trPr>
        <w:trHeight w:val="446"/>
        <w:tblHeader/>
        <w:jc w:val="center"/>
      </w:trPr>
      <w:tc>
        <w:tcPr>
          <w:tcW w:w="54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检验</w:t>
          </w:r>
        </w:p>
        <w:p w:rsidR="00FB618C" w:rsidRDefault="00722624">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hint="eastAsia"/>
            </w:rPr>
            <w:t>（</w:t>
          </w:r>
          <w:r>
            <w:rPr>
              <w:rFonts w:ascii="仿宋_GB2312" w:eastAsia="仿宋_GB2312" w:hAnsi="宋体" w:cs="仿宋_GB2312" w:hint="eastAsia"/>
            </w:rPr>
            <w:t>GB9706.202-2021</w:t>
          </w:r>
          <w:r>
            <w:rPr>
              <w:rFonts w:ascii="仿宋_GB2312" w:eastAsia="仿宋_GB2312" w:hAnsi="宋体" w:cs="仿宋_GB2312" w:hint="eastAsia"/>
            </w:rPr>
            <w:t>）</w:t>
          </w:r>
        </w:p>
      </w:tc>
      <w:tc>
        <w:tcPr>
          <w:tcW w:w="108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单项</w:t>
          </w:r>
        </w:p>
        <w:p w:rsidR="00FB618C" w:rsidRDefault="00722624">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FB618C" w:rsidRDefault="00722624">
          <w:pPr>
            <w:jc w:val="center"/>
            <w:rPr>
              <w:rFonts w:ascii="仿宋_GB2312" w:eastAsia="仿宋_GB2312" w:hAnsi="宋体"/>
            </w:rPr>
          </w:pPr>
          <w:r>
            <w:rPr>
              <w:rFonts w:ascii="仿宋_GB2312" w:eastAsia="仿宋_GB2312" w:hAnsi="宋体" w:cs="仿宋_GB2312" w:hint="eastAsia"/>
            </w:rPr>
            <w:t>备注</w:t>
          </w:r>
        </w:p>
      </w:tc>
    </w:tr>
  </w:tbl>
  <w:p w:rsidR="00FB618C" w:rsidRDefault="00FB618C">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8C" w:rsidRDefault="00FB618C" w:rsidP="00D60255">
    <w:pPr>
      <w:spacing w:beforeLines="30" w:before="72"/>
      <w:jc w:val="right"/>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9011E"/>
    <w:multiLevelType w:val="singleLevel"/>
    <w:tmpl w:val="C389011E"/>
    <w:lvl w:ilvl="0">
      <w:start w:val="4"/>
      <w:numFmt w:val="decimal"/>
      <w:lvlText w:val="%1"/>
      <w:lvlJc w:val="left"/>
      <w:pPr>
        <w:tabs>
          <w:tab w:val="left" w:pos="420"/>
        </w:tabs>
        <w:ind w:left="425" w:hanging="425"/>
      </w:pPr>
      <w:rPr>
        <w:rFonts w:hint="default"/>
      </w:rPr>
    </w:lvl>
  </w:abstractNum>
  <w:abstractNum w:abstractNumId="1">
    <w:nsid w:val="1A350654"/>
    <w:multiLevelType w:val="multilevel"/>
    <w:tmpl w:val="1A35065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C5917C3"/>
    <w:multiLevelType w:val="multilevel"/>
    <w:tmpl w:val="2C5917C3"/>
    <w:lvl w:ilvl="0">
      <w:start w:val="1"/>
      <w:numFmt w:val="none"/>
      <w:pStyle w:val="a"/>
      <w:suff w:val="nothing"/>
      <w:lvlText w:val="%1——"/>
      <w:lvlJc w:val="left"/>
      <w:pPr>
        <w:ind w:left="833" w:hanging="408"/>
      </w:pPr>
      <w:rPr>
        <w:rFonts w:cs="Times New Roman"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3">
    <w:nsid w:val="6598365F"/>
    <w:multiLevelType w:val="multilevel"/>
    <w:tmpl w:val="6598365F"/>
    <w:lvl w:ilvl="0">
      <w:start w:val="1"/>
      <w:numFmt w:val="lowerLetter"/>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4%16.2.1"/>
      <w:lvlJc w:val="left"/>
      <w:pPr>
        <w:ind w:left="704"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start w:val="1"/>
      <w:numFmt w:val="none"/>
      <w:pStyle w:val="a9"/>
      <w:lvlText w:val="%1注："/>
      <w:lvlJc w:val="left"/>
      <w:pPr>
        <w:tabs>
          <w:tab w:val="left" w:pos="1035"/>
        </w:tabs>
        <w:ind w:left="735"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oNotHyphenateCaps/>
  <w:drawingGridHorizontalSpacing w:val="2"/>
  <w:drawingGridVerticalSpacing w:val="159"/>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jBlYzI5M2MzMmViYWE5MmUwMjRjNWMwNWQ4ODYifQ=="/>
    <w:docVar w:name="KSO_WPS_MARK_KEY" w:val="cecc801c-b41a-42a0-8148-bce716f0a044"/>
  </w:docVars>
  <w:rsids>
    <w:rsidRoot w:val="0016513C"/>
    <w:rsid w:val="B6FB16EB"/>
    <w:rsid w:val="D7F5F905"/>
    <w:rsid w:val="ECBB05A8"/>
    <w:rsid w:val="F67FA41F"/>
    <w:rsid w:val="F7FFEAE7"/>
    <w:rsid w:val="FDE7F894"/>
    <w:rsid w:val="00002A9D"/>
    <w:rsid w:val="00006009"/>
    <w:rsid w:val="000068F9"/>
    <w:rsid w:val="000071AE"/>
    <w:rsid w:val="000077F5"/>
    <w:rsid w:val="00007C09"/>
    <w:rsid w:val="00007E33"/>
    <w:rsid w:val="000117E6"/>
    <w:rsid w:val="00013079"/>
    <w:rsid w:val="00013421"/>
    <w:rsid w:val="00013436"/>
    <w:rsid w:val="00017141"/>
    <w:rsid w:val="00021663"/>
    <w:rsid w:val="00021A4E"/>
    <w:rsid w:val="0002470E"/>
    <w:rsid w:val="00024CEF"/>
    <w:rsid w:val="00024FB6"/>
    <w:rsid w:val="000251C8"/>
    <w:rsid w:val="00026ADE"/>
    <w:rsid w:val="00026EAF"/>
    <w:rsid w:val="00030BA7"/>
    <w:rsid w:val="00031BAA"/>
    <w:rsid w:val="0003260B"/>
    <w:rsid w:val="00032FBE"/>
    <w:rsid w:val="00033C13"/>
    <w:rsid w:val="00034960"/>
    <w:rsid w:val="00034A1D"/>
    <w:rsid w:val="00034A3A"/>
    <w:rsid w:val="00036DEF"/>
    <w:rsid w:val="00041D19"/>
    <w:rsid w:val="00041EB5"/>
    <w:rsid w:val="00042EE0"/>
    <w:rsid w:val="00043DC7"/>
    <w:rsid w:val="00044D0D"/>
    <w:rsid w:val="00047C09"/>
    <w:rsid w:val="00050859"/>
    <w:rsid w:val="00053A73"/>
    <w:rsid w:val="0005587E"/>
    <w:rsid w:val="0005668B"/>
    <w:rsid w:val="0006158F"/>
    <w:rsid w:val="00061EC5"/>
    <w:rsid w:val="00062B44"/>
    <w:rsid w:val="0006379D"/>
    <w:rsid w:val="00065A96"/>
    <w:rsid w:val="000666E7"/>
    <w:rsid w:val="00066EF2"/>
    <w:rsid w:val="00067C15"/>
    <w:rsid w:val="0007016F"/>
    <w:rsid w:val="00071A8B"/>
    <w:rsid w:val="000768CB"/>
    <w:rsid w:val="00076AFE"/>
    <w:rsid w:val="000814AE"/>
    <w:rsid w:val="0008160B"/>
    <w:rsid w:val="000826B2"/>
    <w:rsid w:val="00083AC0"/>
    <w:rsid w:val="00084C3E"/>
    <w:rsid w:val="00093165"/>
    <w:rsid w:val="000951B9"/>
    <w:rsid w:val="00096DCC"/>
    <w:rsid w:val="00097976"/>
    <w:rsid w:val="000A0E2D"/>
    <w:rsid w:val="000A2603"/>
    <w:rsid w:val="000A3F61"/>
    <w:rsid w:val="000A6429"/>
    <w:rsid w:val="000A7D31"/>
    <w:rsid w:val="000B21F4"/>
    <w:rsid w:val="000B2C51"/>
    <w:rsid w:val="000B45FB"/>
    <w:rsid w:val="000B6B9E"/>
    <w:rsid w:val="000B7D0B"/>
    <w:rsid w:val="000C06B7"/>
    <w:rsid w:val="000C1542"/>
    <w:rsid w:val="000C2566"/>
    <w:rsid w:val="000C39E4"/>
    <w:rsid w:val="000C3B87"/>
    <w:rsid w:val="000C3FEE"/>
    <w:rsid w:val="000C4E2C"/>
    <w:rsid w:val="000C631A"/>
    <w:rsid w:val="000C7181"/>
    <w:rsid w:val="000C73B1"/>
    <w:rsid w:val="000D0AA6"/>
    <w:rsid w:val="000D35DD"/>
    <w:rsid w:val="000D5490"/>
    <w:rsid w:val="000D6889"/>
    <w:rsid w:val="000E1169"/>
    <w:rsid w:val="000E27AD"/>
    <w:rsid w:val="000E3172"/>
    <w:rsid w:val="000E54CF"/>
    <w:rsid w:val="000E64B8"/>
    <w:rsid w:val="000E73D1"/>
    <w:rsid w:val="000F034D"/>
    <w:rsid w:val="000F3247"/>
    <w:rsid w:val="000F3FBA"/>
    <w:rsid w:val="000F5487"/>
    <w:rsid w:val="000F5F88"/>
    <w:rsid w:val="000F710B"/>
    <w:rsid w:val="000F78B6"/>
    <w:rsid w:val="00100E01"/>
    <w:rsid w:val="00101952"/>
    <w:rsid w:val="00101A95"/>
    <w:rsid w:val="00101CD5"/>
    <w:rsid w:val="00102A48"/>
    <w:rsid w:val="00103E65"/>
    <w:rsid w:val="00104AC3"/>
    <w:rsid w:val="001067D1"/>
    <w:rsid w:val="00107C2E"/>
    <w:rsid w:val="00111546"/>
    <w:rsid w:val="001126B5"/>
    <w:rsid w:val="00112D24"/>
    <w:rsid w:val="001228BE"/>
    <w:rsid w:val="0012338C"/>
    <w:rsid w:val="00123E9B"/>
    <w:rsid w:val="00124373"/>
    <w:rsid w:val="00125784"/>
    <w:rsid w:val="0012608D"/>
    <w:rsid w:val="001264C9"/>
    <w:rsid w:val="00126B53"/>
    <w:rsid w:val="00126D4C"/>
    <w:rsid w:val="0012732E"/>
    <w:rsid w:val="00127A57"/>
    <w:rsid w:val="001323BE"/>
    <w:rsid w:val="001323E1"/>
    <w:rsid w:val="00133CE1"/>
    <w:rsid w:val="00135714"/>
    <w:rsid w:val="00136C57"/>
    <w:rsid w:val="00137007"/>
    <w:rsid w:val="00137A5C"/>
    <w:rsid w:val="0014197C"/>
    <w:rsid w:val="0014586C"/>
    <w:rsid w:val="00146242"/>
    <w:rsid w:val="00147F35"/>
    <w:rsid w:val="00150E6D"/>
    <w:rsid w:val="0015203A"/>
    <w:rsid w:val="00152431"/>
    <w:rsid w:val="00152759"/>
    <w:rsid w:val="00152C44"/>
    <w:rsid w:val="00153A25"/>
    <w:rsid w:val="00153A33"/>
    <w:rsid w:val="00153B6C"/>
    <w:rsid w:val="0015540A"/>
    <w:rsid w:val="00156910"/>
    <w:rsid w:val="00157EB5"/>
    <w:rsid w:val="001616BA"/>
    <w:rsid w:val="00161A63"/>
    <w:rsid w:val="0016513C"/>
    <w:rsid w:val="0016514D"/>
    <w:rsid w:val="00165E1A"/>
    <w:rsid w:val="00167223"/>
    <w:rsid w:val="001725CD"/>
    <w:rsid w:val="0017359D"/>
    <w:rsid w:val="00176126"/>
    <w:rsid w:val="00176727"/>
    <w:rsid w:val="00176791"/>
    <w:rsid w:val="00180B61"/>
    <w:rsid w:val="001810F8"/>
    <w:rsid w:val="00183D2E"/>
    <w:rsid w:val="00184266"/>
    <w:rsid w:val="00184690"/>
    <w:rsid w:val="001852B4"/>
    <w:rsid w:val="00185752"/>
    <w:rsid w:val="00191EF8"/>
    <w:rsid w:val="00192E78"/>
    <w:rsid w:val="00194FE5"/>
    <w:rsid w:val="001950F7"/>
    <w:rsid w:val="00196158"/>
    <w:rsid w:val="00197282"/>
    <w:rsid w:val="00197EFE"/>
    <w:rsid w:val="001A1B58"/>
    <w:rsid w:val="001A32A4"/>
    <w:rsid w:val="001A5696"/>
    <w:rsid w:val="001B1274"/>
    <w:rsid w:val="001B1372"/>
    <w:rsid w:val="001B198F"/>
    <w:rsid w:val="001B19B7"/>
    <w:rsid w:val="001B4F32"/>
    <w:rsid w:val="001B632F"/>
    <w:rsid w:val="001C1089"/>
    <w:rsid w:val="001C170B"/>
    <w:rsid w:val="001C1BA2"/>
    <w:rsid w:val="001C4238"/>
    <w:rsid w:val="001C4244"/>
    <w:rsid w:val="001C5292"/>
    <w:rsid w:val="001D0403"/>
    <w:rsid w:val="001D617D"/>
    <w:rsid w:val="001D763F"/>
    <w:rsid w:val="001D7B6A"/>
    <w:rsid w:val="001E1020"/>
    <w:rsid w:val="001E1236"/>
    <w:rsid w:val="001E1D32"/>
    <w:rsid w:val="001E2CF3"/>
    <w:rsid w:val="001E4549"/>
    <w:rsid w:val="001E4DA0"/>
    <w:rsid w:val="001E5BAD"/>
    <w:rsid w:val="001F2B68"/>
    <w:rsid w:val="001F4085"/>
    <w:rsid w:val="001F5C9D"/>
    <w:rsid w:val="001F72D3"/>
    <w:rsid w:val="00200062"/>
    <w:rsid w:val="0020249C"/>
    <w:rsid w:val="002027E0"/>
    <w:rsid w:val="00202836"/>
    <w:rsid w:val="00210544"/>
    <w:rsid w:val="0021137C"/>
    <w:rsid w:val="00211EEE"/>
    <w:rsid w:val="002133A3"/>
    <w:rsid w:val="00214E68"/>
    <w:rsid w:val="00215797"/>
    <w:rsid w:val="00217090"/>
    <w:rsid w:val="0022125A"/>
    <w:rsid w:val="00222B35"/>
    <w:rsid w:val="0022452B"/>
    <w:rsid w:val="00232DCD"/>
    <w:rsid w:val="00234FC8"/>
    <w:rsid w:val="00235C70"/>
    <w:rsid w:val="0023613F"/>
    <w:rsid w:val="0023666F"/>
    <w:rsid w:val="00236A7D"/>
    <w:rsid w:val="002379A5"/>
    <w:rsid w:val="00241B61"/>
    <w:rsid w:val="00243318"/>
    <w:rsid w:val="00246879"/>
    <w:rsid w:val="00246CF6"/>
    <w:rsid w:val="00247079"/>
    <w:rsid w:val="0025097B"/>
    <w:rsid w:val="002511CE"/>
    <w:rsid w:val="00251813"/>
    <w:rsid w:val="002539FE"/>
    <w:rsid w:val="00254E49"/>
    <w:rsid w:val="0025566D"/>
    <w:rsid w:val="00257B5E"/>
    <w:rsid w:val="00262314"/>
    <w:rsid w:val="00263BC9"/>
    <w:rsid w:val="00265EFC"/>
    <w:rsid w:val="00266AE0"/>
    <w:rsid w:val="002678F6"/>
    <w:rsid w:val="00270192"/>
    <w:rsid w:val="00272D75"/>
    <w:rsid w:val="00273A20"/>
    <w:rsid w:val="002740DE"/>
    <w:rsid w:val="00274D6F"/>
    <w:rsid w:val="00276B29"/>
    <w:rsid w:val="00277078"/>
    <w:rsid w:val="002800B5"/>
    <w:rsid w:val="00280212"/>
    <w:rsid w:val="00280E92"/>
    <w:rsid w:val="00281F7B"/>
    <w:rsid w:val="002835B1"/>
    <w:rsid w:val="00284009"/>
    <w:rsid w:val="00284F0D"/>
    <w:rsid w:val="00285EC4"/>
    <w:rsid w:val="002927A0"/>
    <w:rsid w:val="00293F8E"/>
    <w:rsid w:val="00295D0B"/>
    <w:rsid w:val="00295F0E"/>
    <w:rsid w:val="00297634"/>
    <w:rsid w:val="002A0D4F"/>
    <w:rsid w:val="002A1E14"/>
    <w:rsid w:val="002A718F"/>
    <w:rsid w:val="002B0E18"/>
    <w:rsid w:val="002B2E34"/>
    <w:rsid w:val="002B4D32"/>
    <w:rsid w:val="002C20BF"/>
    <w:rsid w:val="002C308D"/>
    <w:rsid w:val="002C37F8"/>
    <w:rsid w:val="002C5034"/>
    <w:rsid w:val="002D23B2"/>
    <w:rsid w:val="002D2A28"/>
    <w:rsid w:val="002D43CF"/>
    <w:rsid w:val="002D59C5"/>
    <w:rsid w:val="002D5FF3"/>
    <w:rsid w:val="002D681A"/>
    <w:rsid w:val="002E0422"/>
    <w:rsid w:val="002E3DA1"/>
    <w:rsid w:val="002E4E6C"/>
    <w:rsid w:val="002E5CEC"/>
    <w:rsid w:val="002E65E8"/>
    <w:rsid w:val="002F4550"/>
    <w:rsid w:val="002F5A76"/>
    <w:rsid w:val="002F7241"/>
    <w:rsid w:val="002F75B8"/>
    <w:rsid w:val="002F79C5"/>
    <w:rsid w:val="00301D0C"/>
    <w:rsid w:val="00302AD4"/>
    <w:rsid w:val="00303B69"/>
    <w:rsid w:val="00304478"/>
    <w:rsid w:val="0030453E"/>
    <w:rsid w:val="00306458"/>
    <w:rsid w:val="00306D44"/>
    <w:rsid w:val="003138C9"/>
    <w:rsid w:val="00316B12"/>
    <w:rsid w:val="00316DA2"/>
    <w:rsid w:val="00317ED8"/>
    <w:rsid w:val="003208D7"/>
    <w:rsid w:val="00321B1C"/>
    <w:rsid w:val="00322C0B"/>
    <w:rsid w:val="00324391"/>
    <w:rsid w:val="00327CAF"/>
    <w:rsid w:val="00330102"/>
    <w:rsid w:val="00331A50"/>
    <w:rsid w:val="00333585"/>
    <w:rsid w:val="00335B10"/>
    <w:rsid w:val="00335EBF"/>
    <w:rsid w:val="0034068C"/>
    <w:rsid w:val="00340D4F"/>
    <w:rsid w:val="00341179"/>
    <w:rsid w:val="003412AD"/>
    <w:rsid w:val="0034569D"/>
    <w:rsid w:val="003456F4"/>
    <w:rsid w:val="00347835"/>
    <w:rsid w:val="003517D0"/>
    <w:rsid w:val="00351997"/>
    <w:rsid w:val="00354865"/>
    <w:rsid w:val="00355F98"/>
    <w:rsid w:val="00356E7C"/>
    <w:rsid w:val="00360520"/>
    <w:rsid w:val="00362CA3"/>
    <w:rsid w:val="00365DE2"/>
    <w:rsid w:val="00367D24"/>
    <w:rsid w:val="003702D2"/>
    <w:rsid w:val="003703F2"/>
    <w:rsid w:val="00372C35"/>
    <w:rsid w:val="00373AAC"/>
    <w:rsid w:val="00373CB0"/>
    <w:rsid w:val="00375013"/>
    <w:rsid w:val="00382511"/>
    <w:rsid w:val="00382E4B"/>
    <w:rsid w:val="00384FEB"/>
    <w:rsid w:val="0038676F"/>
    <w:rsid w:val="00387233"/>
    <w:rsid w:val="003877AA"/>
    <w:rsid w:val="0039233B"/>
    <w:rsid w:val="00394896"/>
    <w:rsid w:val="0039680E"/>
    <w:rsid w:val="00397AD8"/>
    <w:rsid w:val="003A0381"/>
    <w:rsid w:val="003A0DC1"/>
    <w:rsid w:val="003A0F51"/>
    <w:rsid w:val="003A104D"/>
    <w:rsid w:val="003A446B"/>
    <w:rsid w:val="003A5F76"/>
    <w:rsid w:val="003A7AEB"/>
    <w:rsid w:val="003B082E"/>
    <w:rsid w:val="003B3A43"/>
    <w:rsid w:val="003B405B"/>
    <w:rsid w:val="003B426B"/>
    <w:rsid w:val="003B5824"/>
    <w:rsid w:val="003B5D72"/>
    <w:rsid w:val="003C2741"/>
    <w:rsid w:val="003C4624"/>
    <w:rsid w:val="003D1EEC"/>
    <w:rsid w:val="003D37B9"/>
    <w:rsid w:val="003D3D4F"/>
    <w:rsid w:val="003D6E66"/>
    <w:rsid w:val="003D6FB2"/>
    <w:rsid w:val="003D6FF5"/>
    <w:rsid w:val="003E0779"/>
    <w:rsid w:val="003E25F5"/>
    <w:rsid w:val="003E468C"/>
    <w:rsid w:val="003F0603"/>
    <w:rsid w:val="003F0C6C"/>
    <w:rsid w:val="003F6902"/>
    <w:rsid w:val="004006F1"/>
    <w:rsid w:val="00400C31"/>
    <w:rsid w:val="00401A5C"/>
    <w:rsid w:val="00412634"/>
    <w:rsid w:val="00414A95"/>
    <w:rsid w:val="00415D7D"/>
    <w:rsid w:val="004167F1"/>
    <w:rsid w:val="00417352"/>
    <w:rsid w:val="004179FF"/>
    <w:rsid w:val="00420F25"/>
    <w:rsid w:val="00421B27"/>
    <w:rsid w:val="0042489B"/>
    <w:rsid w:val="004255AC"/>
    <w:rsid w:val="00434847"/>
    <w:rsid w:val="00434B9A"/>
    <w:rsid w:val="00434E88"/>
    <w:rsid w:val="0043629B"/>
    <w:rsid w:val="00436838"/>
    <w:rsid w:val="00437BFC"/>
    <w:rsid w:val="0044351F"/>
    <w:rsid w:val="00443F99"/>
    <w:rsid w:val="00445576"/>
    <w:rsid w:val="00447660"/>
    <w:rsid w:val="00447693"/>
    <w:rsid w:val="00450ADD"/>
    <w:rsid w:val="00450C74"/>
    <w:rsid w:val="004512DF"/>
    <w:rsid w:val="004513B1"/>
    <w:rsid w:val="004539D1"/>
    <w:rsid w:val="00453D36"/>
    <w:rsid w:val="00454595"/>
    <w:rsid w:val="004557CA"/>
    <w:rsid w:val="00455ACD"/>
    <w:rsid w:val="00455BAD"/>
    <w:rsid w:val="004610E7"/>
    <w:rsid w:val="00463449"/>
    <w:rsid w:val="00464101"/>
    <w:rsid w:val="00466504"/>
    <w:rsid w:val="0046688D"/>
    <w:rsid w:val="004707E6"/>
    <w:rsid w:val="00470A4E"/>
    <w:rsid w:val="004732DB"/>
    <w:rsid w:val="00477437"/>
    <w:rsid w:val="004800BE"/>
    <w:rsid w:val="0048090B"/>
    <w:rsid w:val="004827A9"/>
    <w:rsid w:val="004831B4"/>
    <w:rsid w:val="00483259"/>
    <w:rsid w:val="0048415E"/>
    <w:rsid w:val="00485C68"/>
    <w:rsid w:val="0048697F"/>
    <w:rsid w:val="00491FCE"/>
    <w:rsid w:val="00496B85"/>
    <w:rsid w:val="004A0976"/>
    <w:rsid w:val="004A0EC1"/>
    <w:rsid w:val="004A2B2D"/>
    <w:rsid w:val="004A3347"/>
    <w:rsid w:val="004A349A"/>
    <w:rsid w:val="004A4555"/>
    <w:rsid w:val="004B6D80"/>
    <w:rsid w:val="004B6F00"/>
    <w:rsid w:val="004B6F7F"/>
    <w:rsid w:val="004C1917"/>
    <w:rsid w:val="004C1B86"/>
    <w:rsid w:val="004C283E"/>
    <w:rsid w:val="004C300F"/>
    <w:rsid w:val="004C3779"/>
    <w:rsid w:val="004C5097"/>
    <w:rsid w:val="004C63E4"/>
    <w:rsid w:val="004D37A2"/>
    <w:rsid w:val="004D48E9"/>
    <w:rsid w:val="004D55E2"/>
    <w:rsid w:val="004D5D71"/>
    <w:rsid w:val="004D6AFA"/>
    <w:rsid w:val="004E048E"/>
    <w:rsid w:val="004E2279"/>
    <w:rsid w:val="004E389E"/>
    <w:rsid w:val="004E66C4"/>
    <w:rsid w:val="004E79BE"/>
    <w:rsid w:val="004E7DCE"/>
    <w:rsid w:val="004F0170"/>
    <w:rsid w:val="004F0B0D"/>
    <w:rsid w:val="004F611B"/>
    <w:rsid w:val="004F6BAB"/>
    <w:rsid w:val="004F7E11"/>
    <w:rsid w:val="00502259"/>
    <w:rsid w:val="005023A7"/>
    <w:rsid w:val="005024DC"/>
    <w:rsid w:val="005024EC"/>
    <w:rsid w:val="00502867"/>
    <w:rsid w:val="005031D4"/>
    <w:rsid w:val="00503D70"/>
    <w:rsid w:val="00504E3F"/>
    <w:rsid w:val="00513233"/>
    <w:rsid w:val="005143DB"/>
    <w:rsid w:val="00515413"/>
    <w:rsid w:val="00516238"/>
    <w:rsid w:val="005303D6"/>
    <w:rsid w:val="00531BD1"/>
    <w:rsid w:val="0053250D"/>
    <w:rsid w:val="005336C4"/>
    <w:rsid w:val="00534E4D"/>
    <w:rsid w:val="00537815"/>
    <w:rsid w:val="00541442"/>
    <w:rsid w:val="00542815"/>
    <w:rsid w:val="00542981"/>
    <w:rsid w:val="00542D29"/>
    <w:rsid w:val="0054593C"/>
    <w:rsid w:val="00547562"/>
    <w:rsid w:val="00550C76"/>
    <w:rsid w:val="005517DE"/>
    <w:rsid w:val="00551ABD"/>
    <w:rsid w:val="0055487B"/>
    <w:rsid w:val="005548DA"/>
    <w:rsid w:val="00555F53"/>
    <w:rsid w:val="00556A3B"/>
    <w:rsid w:val="0055713F"/>
    <w:rsid w:val="00560D5B"/>
    <w:rsid w:val="00561F4D"/>
    <w:rsid w:val="00563C8E"/>
    <w:rsid w:val="005654BB"/>
    <w:rsid w:val="005655B1"/>
    <w:rsid w:val="00565CBB"/>
    <w:rsid w:val="00574B0B"/>
    <w:rsid w:val="005757D1"/>
    <w:rsid w:val="00577612"/>
    <w:rsid w:val="005776F7"/>
    <w:rsid w:val="005777FC"/>
    <w:rsid w:val="00580C8D"/>
    <w:rsid w:val="005814A7"/>
    <w:rsid w:val="005824F0"/>
    <w:rsid w:val="005843FF"/>
    <w:rsid w:val="00584490"/>
    <w:rsid w:val="00584C15"/>
    <w:rsid w:val="005867AB"/>
    <w:rsid w:val="0059094B"/>
    <w:rsid w:val="00591367"/>
    <w:rsid w:val="00593424"/>
    <w:rsid w:val="00595439"/>
    <w:rsid w:val="005961A5"/>
    <w:rsid w:val="00596E58"/>
    <w:rsid w:val="005A0E3E"/>
    <w:rsid w:val="005A2CC2"/>
    <w:rsid w:val="005A3C78"/>
    <w:rsid w:val="005A4D6A"/>
    <w:rsid w:val="005A59D7"/>
    <w:rsid w:val="005A71B6"/>
    <w:rsid w:val="005B09DB"/>
    <w:rsid w:val="005B0A73"/>
    <w:rsid w:val="005B0A7E"/>
    <w:rsid w:val="005B28A2"/>
    <w:rsid w:val="005B485D"/>
    <w:rsid w:val="005B785B"/>
    <w:rsid w:val="005B7C0F"/>
    <w:rsid w:val="005C32A3"/>
    <w:rsid w:val="005C4AEF"/>
    <w:rsid w:val="005C4D1A"/>
    <w:rsid w:val="005C5E80"/>
    <w:rsid w:val="005C713C"/>
    <w:rsid w:val="005D3016"/>
    <w:rsid w:val="005D54EF"/>
    <w:rsid w:val="005D5764"/>
    <w:rsid w:val="005D7D7F"/>
    <w:rsid w:val="005E15B8"/>
    <w:rsid w:val="005E2275"/>
    <w:rsid w:val="005E22EF"/>
    <w:rsid w:val="005E359E"/>
    <w:rsid w:val="005E623B"/>
    <w:rsid w:val="005F0B9F"/>
    <w:rsid w:val="005F160B"/>
    <w:rsid w:val="005F255E"/>
    <w:rsid w:val="005F5061"/>
    <w:rsid w:val="005F5F9E"/>
    <w:rsid w:val="005F6D48"/>
    <w:rsid w:val="005F6EA8"/>
    <w:rsid w:val="005F7CDF"/>
    <w:rsid w:val="005F7F42"/>
    <w:rsid w:val="0060013F"/>
    <w:rsid w:val="00602EFD"/>
    <w:rsid w:val="00603442"/>
    <w:rsid w:val="00604E7F"/>
    <w:rsid w:val="00605EAB"/>
    <w:rsid w:val="00606C65"/>
    <w:rsid w:val="006110FD"/>
    <w:rsid w:val="00611326"/>
    <w:rsid w:val="00611CCA"/>
    <w:rsid w:val="00614C6E"/>
    <w:rsid w:val="006179A7"/>
    <w:rsid w:val="00620084"/>
    <w:rsid w:val="00620513"/>
    <w:rsid w:val="0062088F"/>
    <w:rsid w:val="00623367"/>
    <w:rsid w:val="00627214"/>
    <w:rsid w:val="00630AE7"/>
    <w:rsid w:val="006323BD"/>
    <w:rsid w:val="0063593D"/>
    <w:rsid w:val="0063720A"/>
    <w:rsid w:val="006400FA"/>
    <w:rsid w:val="00640A68"/>
    <w:rsid w:val="00642B16"/>
    <w:rsid w:val="006437B7"/>
    <w:rsid w:val="00645CB6"/>
    <w:rsid w:val="00651DFF"/>
    <w:rsid w:val="00654B93"/>
    <w:rsid w:val="00656839"/>
    <w:rsid w:val="0066157D"/>
    <w:rsid w:val="00663186"/>
    <w:rsid w:val="006664BA"/>
    <w:rsid w:val="0066675B"/>
    <w:rsid w:val="006668DD"/>
    <w:rsid w:val="00666CF4"/>
    <w:rsid w:val="00670B59"/>
    <w:rsid w:val="0067125F"/>
    <w:rsid w:val="00672500"/>
    <w:rsid w:val="00674F23"/>
    <w:rsid w:val="0067637C"/>
    <w:rsid w:val="006808CD"/>
    <w:rsid w:val="00681DEF"/>
    <w:rsid w:val="00681F0C"/>
    <w:rsid w:val="00684261"/>
    <w:rsid w:val="0068467D"/>
    <w:rsid w:val="00687619"/>
    <w:rsid w:val="00690F86"/>
    <w:rsid w:val="006911DA"/>
    <w:rsid w:val="006927A0"/>
    <w:rsid w:val="0069725B"/>
    <w:rsid w:val="006A0C30"/>
    <w:rsid w:val="006A1496"/>
    <w:rsid w:val="006A238C"/>
    <w:rsid w:val="006A2A79"/>
    <w:rsid w:val="006A3C5D"/>
    <w:rsid w:val="006A4D60"/>
    <w:rsid w:val="006A514E"/>
    <w:rsid w:val="006B3D55"/>
    <w:rsid w:val="006B64B3"/>
    <w:rsid w:val="006B6671"/>
    <w:rsid w:val="006B67D3"/>
    <w:rsid w:val="006B76CF"/>
    <w:rsid w:val="006C1AD6"/>
    <w:rsid w:val="006C2514"/>
    <w:rsid w:val="006C592A"/>
    <w:rsid w:val="006C6BE1"/>
    <w:rsid w:val="006C7A67"/>
    <w:rsid w:val="006D0304"/>
    <w:rsid w:val="006D18A3"/>
    <w:rsid w:val="006D2D24"/>
    <w:rsid w:val="006D79CD"/>
    <w:rsid w:val="006E0075"/>
    <w:rsid w:val="006E0396"/>
    <w:rsid w:val="006E0F5A"/>
    <w:rsid w:val="006E197F"/>
    <w:rsid w:val="006E2D24"/>
    <w:rsid w:val="006E3CC4"/>
    <w:rsid w:val="006E5126"/>
    <w:rsid w:val="006E60A6"/>
    <w:rsid w:val="006F0642"/>
    <w:rsid w:val="006F0D23"/>
    <w:rsid w:val="006F1717"/>
    <w:rsid w:val="006F42C7"/>
    <w:rsid w:val="006F481F"/>
    <w:rsid w:val="006F5935"/>
    <w:rsid w:val="006F6180"/>
    <w:rsid w:val="00700315"/>
    <w:rsid w:val="00700F15"/>
    <w:rsid w:val="0070272A"/>
    <w:rsid w:val="00702C07"/>
    <w:rsid w:val="00705339"/>
    <w:rsid w:val="00705FFA"/>
    <w:rsid w:val="00710595"/>
    <w:rsid w:val="007118EE"/>
    <w:rsid w:val="007122B9"/>
    <w:rsid w:val="00712954"/>
    <w:rsid w:val="00713743"/>
    <w:rsid w:val="0071781D"/>
    <w:rsid w:val="007178C6"/>
    <w:rsid w:val="00720CD5"/>
    <w:rsid w:val="0072244E"/>
    <w:rsid w:val="00722624"/>
    <w:rsid w:val="007235C5"/>
    <w:rsid w:val="00724FAE"/>
    <w:rsid w:val="00725A42"/>
    <w:rsid w:val="00726C95"/>
    <w:rsid w:val="00727970"/>
    <w:rsid w:val="00732492"/>
    <w:rsid w:val="00732629"/>
    <w:rsid w:val="00732B99"/>
    <w:rsid w:val="0073316F"/>
    <w:rsid w:val="0073441C"/>
    <w:rsid w:val="00736792"/>
    <w:rsid w:val="00736BF3"/>
    <w:rsid w:val="00737C85"/>
    <w:rsid w:val="00737D54"/>
    <w:rsid w:val="00737E83"/>
    <w:rsid w:val="00741AA3"/>
    <w:rsid w:val="007426E6"/>
    <w:rsid w:val="00742ECB"/>
    <w:rsid w:val="00743304"/>
    <w:rsid w:val="00744E5F"/>
    <w:rsid w:val="007468EB"/>
    <w:rsid w:val="00747217"/>
    <w:rsid w:val="00747275"/>
    <w:rsid w:val="007505E1"/>
    <w:rsid w:val="007515A2"/>
    <w:rsid w:val="007523CA"/>
    <w:rsid w:val="00753676"/>
    <w:rsid w:val="00754329"/>
    <w:rsid w:val="007560ED"/>
    <w:rsid w:val="00757B10"/>
    <w:rsid w:val="00760D65"/>
    <w:rsid w:val="00764A92"/>
    <w:rsid w:val="00765BFE"/>
    <w:rsid w:val="00765CF0"/>
    <w:rsid w:val="007669E7"/>
    <w:rsid w:val="00771919"/>
    <w:rsid w:val="00771CCE"/>
    <w:rsid w:val="00774AD8"/>
    <w:rsid w:val="00774C3D"/>
    <w:rsid w:val="00781896"/>
    <w:rsid w:val="007819DC"/>
    <w:rsid w:val="00782D8F"/>
    <w:rsid w:val="00782F77"/>
    <w:rsid w:val="007832C4"/>
    <w:rsid w:val="00786DAC"/>
    <w:rsid w:val="007912A6"/>
    <w:rsid w:val="007925E4"/>
    <w:rsid w:val="00793A30"/>
    <w:rsid w:val="00796519"/>
    <w:rsid w:val="007A2E54"/>
    <w:rsid w:val="007A38A7"/>
    <w:rsid w:val="007A417C"/>
    <w:rsid w:val="007A56DF"/>
    <w:rsid w:val="007A6B85"/>
    <w:rsid w:val="007A7A3E"/>
    <w:rsid w:val="007B27BC"/>
    <w:rsid w:val="007B28AA"/>
    <w:rsid w:val="007B2DC8"/>
    <w:rsid w:val="007B400F"/>
    <w:rsid w:val="007B5641"/>
    <w:rsid w:val="007C0BCB"/>
    <w:rsid w:val="007C2B43"/>
    <w:rsid w:val="007C493B"/>
    <w:rsid w:val="007C4C8F"/>
    <w:rsid w:val="007D1588"/>
    <w:rsid w:val="007D1DE4"/>
    <w:rsid w:val="007D54CF"/>
    <w:rsid w:val="007D7360"/>
    <w:rsid w:val="007E08DB"/>
    <w:rsid w:val="007E1AAB"/>
    <w:rsid w:val="007E2B70"/>
    <w:rsid w:val="007E369A"/>
    <w:rsid w:val="007E3F5F"/>
    <w:rsid w:val="007E4087"/>
    <w:rsid w:val="007E6C99"/>
    <w:rsid w:val="007E73B8"/>
    <w:rsid w:val="007F0888"/>
    <w:rsid w:val="007F36B0"/>
    <w:rsid w:val="007F5662"/>
    <w:rsid w:val="007F5F67"/>
    <w:rsid w:val="007F6952"/>
    <w:rsid w:val="007F7255"/>
    <w:rsid w:val="00800C78"/>
    <w:rsid w:val="008019AE"/>
    <w:rsid w:val="00801E0C"/>
    <w:rsid w:val="00803712"/>
    <w:rsid w:val="0080463E"/>
    <w:rsid w:val="00804FC5"/>
    <w:rsid w:val="00805894"/>
    <w:rsid w:val="00811AF6"/>
    <w:rsid w:val="00812EE6"/>
    <w:rsid w:val="00815584"/>
    <w:rsid w:val="00816157"/>
    <w:rsid w:val="00816F34"/>
    <w:rsid w:val="008179F4"/>
    <w:rsid w:val="00817D13"/>
    <w:rsid w:val="0082091F"/>
    <w:rsid w:val="00821BCD"/>
    <w:rsid w:val="00822FE4"/>
    <w:rsid w:val="008231CA"/>
    <w:rsid w:val="00826520"/>
    <w:rsid w:val="00827703"/>
    <w:rsid w:val="00827D39"/>
    <w:rsid w:val="0083171D"/>
    <w:rsid w:val="00832D4A"/>
    <w:rsid w:val="008335FE"/>
    <w:rsid w:val="008346D7"/>
    <w:rsid w:val="00834E7B"/>
    <w:rsid w:val="00835380"/>
    <w:rsid w:val="0083639D"/>
    <w:rsid w:val="00840064"/>
    <w:rsid w:val="0084151A"/>
    <w:rsid w:val="008417C4"/>
    <w:rsid w:val="00843268"/>
    <w:rsid w:val="008439FC"/>
    <w:rsid w:val="00843B33"/>
    <w:rsid w:val="008453D9"/>
    <w:rsid w:val="00846972"/>
    <w:rsid w:val="00847012"/>
    <w:rsid w:val="00847DE2"/>
    <w:rsid w:val="00851731"/>
    <w:rsid w:val="00851F86"/>
    <w:rsid w:val="008522D1"/>
    <w:rsid w:val="00852921"/>
    <w:rsid w:val="00853203"/>
    <w:rsid w:val="00853751"/>
    <w:rsid w:val="008537C5"/>
    <w:rsid w:val="00855EAE"/>
    <w:rsid w:val="008579F5"/>
    <w:rsid w:val="008606CB"/>
    <w:rsid w:val="008629E2"/>
    <w:rsid w:val="008630DB"/>
    <w:rsid w:val="008652D3"/>
    <w:rsid w:val="00865454"/>
    <w:rsid w:val="00866BF1"/>
    <w:rsid w:val="008674A1"/>
    <w:rsid w:val="00870CEE"/>
    <w:rsid w:val="008715CF"/>
    <w:rsid w:val="0087241D"/>
    <w:rsid w:val="00873674"/>
    <w:rsid w:val="008760FE"/>
    <w:rsid w:val="00880B9F"/>
    <w:rsid w:val="0088103D"/>
    <w:rsid w:val="0088160F"/>
    <w:rsid w:val="00881DAC"/>
    <w:rsid w:val="00881EA6"/>
    <w:rsid w:val="00882804"/>
    <w:rsid w:val="00883A50"/>
    <w:rsid w:val="00885389"/>
    <w:rsid w:val="00886D0C"/>
    <w:rsid w:val="008908CD"/>
    <w:rsid w:val="00896238"/>
    <w:rsid w:val="00896CB4"/>
    <w:rsid w:val="00897850"/>
    <w:rsid w:val="008A2E64"/>
    <w:rsid w:val="008A5D8E"/>
    <w:rsid w:val="008A6ABE"/>
    <w:rsid w:val="008B1DB9"/>
    <w:rsid w:val="008B6E86"/>
    <w:rsid w:val="008B74DB"/>
    <w:rsid w:val="008B74FE"/>
    <w:rsid w:val="008C0CF2"/>
    <w:rsid w:val="008C11EA"/>
    <w:rsid w:val="008C217E"/>
    <w:rsid w:val="008C52DA"/>
    <w:rsid w:val="008C61BD"/>
    <w:rsid w:val="008D1CB1"/>
    <w:rsid w:val="008D396A"/>
    <w:rsid w:val="008D3A60"/>
    <w:rsid w:val="008D5014"/>
    <w:rsid w:val="008D5044"/>
    <w:rsid w:val="008E422D"/>
    <w:rsid w:val="008E7392"/>
    <w:rsid w:val="008F1649"/>
    <w:rsid w:val="008F1B70"/>
    <w:rsid w:val="008F22E3"/>
    <w:rsid w:val="008F248B"/>
    <w:rsid w:val="008F4507"/>
    <w:rsid w:val="008F4964"/>
    <w:rsid w:val="008F62CB"/>
    <w:rsid w:val="008F7B2F"/>
    <w:rsid w:val="008F7D44"/>
    <w:rsid w:val="0090210A"/>
    <w:rsid w:val="00903E17"/>
    <w:rsid w:val="00904D2D"/>
    <w:rsid w:val="00905E03"/>
    <w:rsid w:val="00905F01"/>
    <w:rsid w:val="0091077D"/>
    <w:rsid w:val="00911B2B"/>
    <w:rsid w:val="00914322"/>
    <w:rsid w:val="009172FA"/>
    <w:rsid w:val="00917F09"/>
    <w:rsid w:val="009202A0"/>
    <w:rsid w:val="00923BB2"/>
    <w:rsid w:val="00926DEB"/>
    <w:rsid w:val="009311CB"/>
    <w:rsid w:val="00932737"/>
    <w:rsid w:val="00933B9E"/>
    <w:rsid w:val="009363DA"/>
    <w:rsid w:val="00937D79"/>
    <w:rsid w:val="00942777"/>
    <w:rsid w:val="00943B08"/>
    <w:rsid w:val="009442F2"/>
    <w:rsid w:val="009445AE"/>
    <w:rsid w:val="00944A9F"/>
    <w:rsid w:val="009501C2"/>
    <w:rsid w:val="0095138E"/>
    <w:rsid w:val="009515DC"/>
    <w:rsid w:val="00951700"/>
    <w:rsid w:val="00951BFA"/>
    <w:rsid w:val="009527F6"/>
    <w:rsid w:val="00954514"/>
    <w:rsid w:val="00955DF7"/>
    <w:rsid w:val="00957CFF"/>
    <w:rsid w:val="009607D2"/>
    <w:rsid w:val="00961848"/>
    <w:rsid w:val="00963D65"/>
    <w:rsid w:val="00965B8F"/>
    <w:rsid w:val="00967D24"/>
    <w:rsid w:val="00967E9E"/>
    <w:rsid w:val="00973A31"/>
    <w:rsid w:val="00973A9B"/>
    <w:rsid w:val="00974237"/>
    <w:rsid w:val="00974B9C"/>
    <w:rsid w:val="00976717"/>
    <w:rsid w:val="009767A7"/>
    <w:rsid w:val="00977664"/>
    <w:rsid w:val="00982831"/>
    <w:rsid w:val="00982FA5"/>
    <w:rsid w:val="009845EC"/>
    <w:rsid w:val="009850C7"/>
    <w:rsid w:val="00985C90"/>
    <w:rsid w:val="00990592"/>
    <w:rsid w:val="00991C9B"/>
    <w:rsid w:val="009A0AFC"/>
    <w:rsid w:val="009A18D4"/>
    <w:rsid w:val="009A2208"/>
    <w:rsid w:val="009A4D92"/>
    <w:rsid w:val="009A6901"/>
    <w:rsid w:val="009A6A95"/>
    <w:rsid w:val="009B6910"/>
    <w:rsid w:val="009B7415"/>
    <w:rsid w:val="009C45E1"/>
    <w:rsid w:val="009C4AAE"/>
    <w:rsid w:val="009C69D0"/>
    <w:rsid w:val="009D1BD6"/>
    <w:rsid w:val="009D25BE"/>
    <w:rsid w:val="009D5994"/>
    <w:rsid w:val="009D6F16"/>
    <w:rsid w:val="009E03DE"/>
    <w:rsid w:val="009E073C"/>
    <w:rsid w:val="009E15F9"/>
    <w:rsid w:val="009E4286"/>
    <w:rsid w:val="009E6177"/>
    <w:rsid w:val="009E65B5"/>
    <w:rsid w:val="009F02AB"/>
    <w:rsid w:val="009F68FA"/>
    <w:rsid w:val="009F6E1E"/>
    <w:rsid w:val="009F7961"/>
    <w:rsid w:val="009F7BB5"/>
    <w:rsid w:val="00A009F7"/>
    <w:rsid w:val="00A01E95"/>
    <w:rsid w:val="00A02252"/>
    <w:rsid w:val="00A03BE7"/>
    <w:rsid w:val="00A06858"/>
    <w:rsid w:val="00A07CEC"/>
    <w:rsid w:val="00A10D9D"/>
    <w:rsid w:val="00A136B5"/>
    <w:rsid w:val="00A1429F"/>
    <w:rsid w:val="00A21186"/>
    <w:rsid w:val="00A220BA"/>
    <w:rsid w:val="00A22672"/>
    <w:rsid w:val="00A25420"/>
    <w:rsid w:val="00A262B6"/>
    <w:rsid w:val="00A26C5B"/>
    <w:rsid w:val="00A30276"/>
    <w:rsid w:val="00A3109C"/>
    <w:rsid w:val="00A315D2"/>
    <w:rsid w:val="00A318B4"/>
    <w:rsid w:val="00A33AC5"/>
    <w:rsid w:val="00A34A3C"/>
    <w:rsid w:val="00A35B1E"/>
    <w:rsid w:val="00A35D20"/>
    <w:rsid w:val="00A36800"/>
    <w:rsid w:val="00A36937"/>
    <w:rsid w:val="00A40982"/>
    <w:rsid w:val="00A41281"/>
    <w:rsid w:val="00A41920"/>
    <w:rsid w:val="00A4385E"/>
    <w:rsid w:val="00A438A5"/>
    <w:rsid w:val="00A46E88"/>
    <w:rsid w:val="00A470D7"/>
    <w:rsid w:val="00A51C07"/>
    <w:rsid w:val="00A52512"/>
    <w:rsid w:val="00A53E01"/>
    <w:rsid w:val="00A558A7"/>
    <w:rsid w:val="00A55AAB"/>
    <w:rsid w:val="00A565DD"/>
    <w:rsid w:val="00A615D2"/>
    <w:rsid w:val="00A6215F"/>
    <w:rsid w:val="00A62893"/>
    <w:rsid w:val="00A63860"/>
    <w:rsid w:val="00A65FA1"/>
    <w:rsid w:val="00A6649D"/>
    <w:rsid w:val="00A669F2"/>
    <w:rsid w:val="00A67DB1"/>
    <w:rsid w:val="00A70064"/>
    <w:rsid w:val="00A7673F"/>
    <w:rsid w:val="00A77362"/>
    <w:rsid w:val="00A774B7"/>
    <w:rsid w:val="00A800CD"/>
    <w:rsid w:val="00A839EB"/>
    <w:rsid w:val="00A8437B"/>
    <w:rsid w:val="00A85FE0"/>
    <w:rsid w:val="00A86096"/>
    <w:rsid w:val="00A91310"/>
    <w:rsid w:val="00A919F5"/>
    <w:rsid w:val="00A927E5"/>
    <w:rsid w:val="00A93E95"/>
    <w:rsid w:val="00A963FC"/>
    <w:rsid w:val="00AA0F52"/>
    <w:rsid w:val="00AA1896"/>
    <w:rsid w:val="00AA5E6F"/>
    <w:rsid w:val="00AA67F0"/>
    <w:rsid w:val="00AB3226"/>
    <w:rsid w:val="00AB3A03"/>
    <w:rsid w:val="00AB3D18"/>
    <w:rsid w:val="00AB45F7"/>
    <w:rsid w:val="00AB49EA"/>
    <w:rsid w:val="00AB77B4"/>
    <w:rsid w:val="00AB7AF2"/>
    <w:rsid w:val="00AC14F4"/>
    <w:rsid w:val="00AC1A39"/>
    <w:rsid w:val="00AC1B12"/>
    <w:rsid w:val="00AC24CD"/>
    <w:rsid w:val="00AC2576"/>
    <w:rsid w:val="00AC45B3"/>
    <w:rsid w:val="00AC4C57"/>
    <w:rsid w:val="00AC5304"/>
    <w:rsid w:val="00AC60C2"/>
    <w:rsid w:val="00AC742F"/>
    <w:rsid w:val="00AC758E"/>
    <w:rsid w:val="00AD37D3"/>
    <w:rsid w:val="00AD3CE7"/>
    <w:rsid w:val="00AD4A1F"/>
    <w:rsid w:val="00AD52A6"/>
    <w:rsid w:val="00AD5322"/>
    <w:rsid w:val="00AD6961"/>
    <w:rsid w:val="00AD71D7"/>
    <w:rsid w:val="00AE261F"/>
    <w:rsid w:val="00AE40CD"/>
    <w:rsid w:val="00AE5635"/>
    <w:rsid w:val="00AF29C6"/>
    <w:rsid w:val="00AF2B46"/>
    <w:rsid w:val="00AF31A6"/>
    <w:rsid w:val="00AF6286"/>
    <w:rsid w:val="00AF7C9F"/>
    <w:rsid w:val="00B00E65"/>
    <w:rsid w:val="00B00FEE"/>
    <w:rsid w:val="00B0358E"/>
    <w:rsid w:val="00B044C0"/>
    <w:rsid w:val="00B050CF"/>
    <w:rsid w:val="00B0514F"/>
    <w:rsid w:val="00B0541D"/>
    <w:rsid w:val="00B06838"/>
    <w:rsid w:val="00B116A4"/>
    <w:rsid w:val="00B1349F"/>
    <w:rsid w:val="00B14128"/>
    <w:rsid w:val="00B15728"/>
    <w:rsid w:val="00B16D94"/>
    <w:rsid w:val="00B16F5C"/>
    <w:rsid w:val="00B23FAC"/>
    <w:rsid w:val="00B26BA5"/>
    <w:rsid w:val="00B27B11"/>
    <w:rsid w:val="00B305F1"/>
    <w:rsid w:val="00B31573"/>
    <w:rsid w:val="00B3157A"/>
    <w:rsid w:val="00B31A99"/>
    <w:rsid w:val="00B32018"/>
    <w:rsid w:val="00B32C82"/>
    <w:rsid w:val="00B34C3A"/>
    <w:rsid w:val="00B35D14"/>
    <w:rsid w:val="00B36614"/>
    <w:rsid w:val="00B36BF4"/>
    <w:rsid w:val="00B404F2"/>
    <w:rsid w:val="00B42E4D"/>
    <w:rsid w:val="00B4442C"/>
    <w:rsid w:val="00B44CCA"/>
    <w:rsid w:val="00B461A2"/>
    <w:rsid w:val="00B4740F"/>
    <w:rsid w:val="00B475A2"/>
    <w:rsid w:val="00B527BB"/>
    <w:rsid w:val="00B602D5"/>
    <w:rsid w:val="00B60720"/>
    <w:rsid w:val="00B617D1"/>
    <w:rsid w:val="00B624BA"/>
    <w:rsid w:val="00B63D87"/>
    <w:rsid w:val="00B6418C"/>
    <w:rsid w:val="00B649E8"/>
    <w:rsid w:val="00B64D26"/>
    <w:rsid w:val="00B65570"/>
    <w:rsid w:val="00B70067"/>
    <w:rsid w:val="00B70E20"/>
    <w:rsid w:val="00B71170"/>
    <w:rsid w:val="00B733FA"/>
    <w:rsid w:val="00B73ACB"/>
    <w:rsid w:val="00B7406B"/>
    <w:rsid w:val="00B74F8D"/>
    <w:rsid w:val="00B76A24"/>
    <w:rsid w:val="00B77365"/>
    <w:rsid w:val="00B77718"/>
    <w:rsid w:val="00B80645"/>
    <w:rsid w:val="00B8099F"/>
    <w:rsid w:val="00B80B23"/>
    <w:rsid w:val="00B81D9D"/>
    <w:rsid w:val="00B84510"/>
    <w:rsid w:val="00B84EC6"/>
    <w:rsid w:val="00B84F9C"/>
    <w:rsid w:val="00B87FB5"/>
    <w:rsid w:val="00B95369"/>
    <w:rsid w:val="00B95C65"/>
    <w:rsid w:val="00B96889"/>
    <w:rsid w:val="00B96A68"/>
    <w:rsid w:val="00B97526"/>
    <w:rsid w:val="00BA3F28"/>
    <w:rsid w:val="00BA55AC"/>
    <w:rsid w:val="00BA5E70"/>
    <w:rsid w:val="00BA6E07"/>
    <w:rsid w:val="00BA6ED2"/>
    <w:rsid w:val="00BB1B65"/>
    <w:rsid w:val="00BB6552"/>
    <w:rsid w:val="00BB6ABD"/>
    <w:rsid w:val="00BC0BDF"/>
    <w:rsid w:val="00BC1FCB"/>
    <w:rsid w:val="00BC3562"/>
    <w:rsid w:val="00BC3E80"/>
    <w:rsid w:val="00BD1C1A"/>
    <w:rsid w:val="00BD386B"/>
    <w:rsid w:val="00BD52A6"/>
    <w:rsid w:val="00BD5748"/>
    <w:rsid w:val="00BD616B"/>
    <w:rsid w:val="00BD7871"/>
    <w:rsid w:val="00BE213D"/>
    <w:rsid w:val="00BE2831"/>
    <w:rsid w:val="00BE3060"/>
    <w:rsid w:val="00BE33B1"/>
    <w:rsid w:val="00BE3807"/>
    <w:rsid w:val="00BE3991"/>
    <w:rsid w:val="00BE4F82"/>
    <w:rsid w:val="00BE6F4D"/>
    <w:rsid w:val="00BF3B06"/>
    <w:rsid w:val="00BF4B75"/>
    <w:rsid w:val="00BF7689"/>
    <w:rsid w:val="00C002F4"/>
    <w:rsid w:val="00C03933"/>
    <w:rsid w:val="00C03A9A"/>
    <w:rsid w:val="00C03DD2"/>
    <w:rsid w:val="00C0698D"/>
    <w:rsid w:val="00C073C5"/>
    <w:rsid w:val="00C0782F"/>
    <w:rsid w:val="00C15A32"/>
    <w:rsid w:val="00C160E4"/>
    <w:rsid w:val="00C1676F"/>
    <w:rsid w:val="00C16B92"/>
    <w:rsid w:val="00C2175C"/>
    <w:rsid w:val="00C22336"/>
    <w:rsid w:val="00C225C8"/>
    <w:rsid w:val="00C22AB2"/>
    <w:rsid w:val="00C22C32"/>
    <w:rsid w:val="00C24ACF"/>
    <w:rsid w:val="00C2521D"/>
    <w:rsid w:val="00C25AAF"/>
    <w:rsid w:val="00C3081F"/>
    <w:rsid w:val="00C30C1B"/>
    <w:rsid w:val="00C311E5"/>
    <w:rsid w:val="00C31E43"/>
    <w:rsid w:val="00C31F7C"/>
    <w:rsid w:val="00C3261D"/>
    <w:rsid w:val="00C335A5"/>
    <w:rsid w:val="00C33752"/>
    <w:rsid w:val="00C342A1"/>
    <w:rsid w:val="00C35158"/>
    <w:rsid w:val="00C353AB"/>
    <w:rsid w:val="00C371BF"/>
    <w:rsid w:val="00C4039F"/>
    <w:rsid w:val="00C404AE"/>
    <w:rsid w:val="00C408E1"/>
    <w:rsid w:val="00C417C0"/>
    <w:rsid w:val="00C42FA3"/>
    <w:rsid w:val="00C44B49"/>
    <w:rsid w:val="00C4702E"/>
    <w:rsid w:val="00C47D0A"/>
    <w:rsid w:val="00C47EA6"/>
    <w:rsid w:val="00C50107"/>
    <w:rsid w:val="00C510E5"/>
    <w:rsid w:val="00C5140E"/>
    <w:rsid w:val="00C524B6"/>
    <w:rsid w:val="00C53187"/>
    <w:rsid w:val="00C54949"/>
    <w:rsid w:val="00C57B80"/>
    <w:rsid w:val="00C57BCA"/>
    <w:rsid w:val="00C612BA"/>
    <w:rsid w:val="00C63796"/>
    <w:rsid w:val="00C63D82"/>
    <w:rsid w:val="00C66500"/>
    <w:rsid w:val="00C66BF9"/>
    <w:rsid w:val="00C71436"/>
    <w:rsid w:val="00C73B33"/>
    <w:rsid w:val="00C76C17"/>
    <w:rsid w:val="00C777EC"/>
    <w:rsid w:val="00C80092"/>
    <w:rsid w:val="00C8028F"/>
    <w:rsid w:val="00C80A38"/>
    <w:rsid w:val="00C8205B"/>
    <w:rsid w:val="00C843A7"/>
    <w:rsid w:val="00C86413"/>
    <w:rsid w:val="00C86544"/>
    <w:rsid w:val="00C87908"/>
    <w:rsid w:val="00C90E74"/>
    <w:rsid w:val="00C924AF"/>
    <w:rsid w:val="00C94F7F"/>
    <w:rsid w:val="00C964FF"/>
    <w:rsid w:val="00CA030D"/>
    <w:rsid w:val="00CA42A5"/>
    <w:rsid w:val="00CB2603"/>
    <w:rsid w:val="00CB3255"/>
    <w:rsid w:val="00CB5565"/>
    <w:rsid w:val="00CB5625"/>
    <w:rsid w:val="00CB6364"/>
    <w:rsid w:val="00CB6DC9"/>
    <w:rsid w:val="00CB6E78"/>
    <w:rsid w:val="00CB77B0"/>
    <w:rsid w:val="00CC0183"/>
    <w:rsid w:val="00CC117E"/>
    <w:rsid w:val="00CC1EF3"/>
    <w:rsid w:val="00CC215A"/>
    <w:rsid w:val="00CC28E4"/>
    <w:rsid w:val="00CC2A12"/>
    <w:rsid w:val="00CC43A8"/>
    <w:rsid w:val="00CC578C"/>
    <w:rsid w:val="00CC664B"/>
    <w:rsid w:val="00CC7E97"/>
    <w:rsid w:val="00CD1EAE"/>
    <w:rsid w:val="00CD33E8"/>
    <w:rsid w:val="00CD3738"/>
    <w:rsid w:val="00CD54C5"/>
    <w:rsid w:val="00CD5FD5"/>
    <w:rsid w:val="00CD6A8D"/>
    <w:rsid w:val="00CE2050"/>
    <w:rsid w:val="00CE386A"/>
    <w:rsid w:val="00CE48C4"/>
    <w:rsid w:val="00CE684D"/>
    <w:rsid w:val="00CE7925"/>
    <w:rsid w:val="00CF2772"/>
    <w:rsid w:val="00CF2C55"/>
    <w:rsid w:val="00CF7062"/>
    <w:rsid w:val="00D00349"/>
    <w:rsid w:val="00D00BAC"/>
    <w:rsid w:val="00D027B6"/>
    <w:rsid w:val="00D02CF6"/>
    <w:rsid w:val="00D066DD"/>
    <w:rsid w:val="00D12EBE"/>
    <w:rsid w:val="00D12F8F"/>
    <w:rsid w:val="00D1325D"/>
    <w:rsid w:val="00D1347F"/>
    <w:rsid w:val="00D13F6E"/>
    <w:rsid w:val="00D160CF"/>
    <w:rsid w:val="00D16F16"/>
    <w:rsid w:val="00D20183"/>
    <w:rsid w:val="00D20549"/>
    <w:rsid w:val="00D209B3"/>
    <w:rsid w:val="00D23731"/>
    <w:rsid w:val="00D23815"/>
    <w:rsid w:val="00D23B54"/>
    <w:rsid w:val="00D31041"/>
    <w:rsid w:val="00D313D9"/>
    <w:rsid w:val="00D3353E"/>
    <w:rsid w:val="00D41282"/>
    <w:rsid w:val="00D41F65"/>
    <w:rsid w:val="00D459C4"/>
    <w:rsid w:val="00D45DAF"/>
    <w:rsid w:val="00D514FC"/>
    <w:rsid w:val="00D52830"/>
    <w:rsid w:val="00D53807"/>
    <w:rsid w:val="00D5653D"/>
    <w:rsid w:val="00D5701A"/>
    <w:rsid w:val="00D573C5"/>
    <w:rsid w:val="00D5757B"/>
    <w:rsid w:val="00D578D3"/>
    <w:rsid w:val="00D60255"/>
    <w:rsid w:val="00D60EF4"/>
    <w:rsid w:val="00D618BB"/>
    <w:rsid w:val="00D620EC"/>
    <w:rsid w:val="00D65944"/>
    <w:rsid w:val="00D70CFF"/>
    <w:rsid w:val="00D71A5D"/>
    <w:rsid w:val="00D74C6C"/>
    <w:rsid w:val="00D7614F"/>
    <w:rsid w:val="00D84381"/>
    <w:rsid w:val="00D85239"/>
    <w:rsid w:val="00D860B7"/>
    <w:rsid w:val="00D8641A"/>
    <w:rsid w:val="00D86534"/>
    <w:rsid w:val="00D90F86"/>
    <w:rsid w:val="00D91A4B"/>
    <w:rsid w:val="00D922F4"/>
    <w:rsid w:val="00D95A37"/>
    <w:rsid w:val="00D97925"/>
    <w:rsid w:val="00D97F8F"/>
    <w:rsid w:val="00DA0D72"/>
    <w:rsid w:val="00DA3BA4"/>
    <w:rsid w:val="00DA469A"/>
    <w:rsid w:val="00DA4E55"/>
    <w:rsid w:val="00DA6632"/>
    <w:rsid w:val="00DA6DF7"/>
    <w:rsid w:val="00DA7334"/>
    <w:rsid w:val="00DA76DC"/>
    <w:rsid w:val="00DA7F41"/>
    <w:rsid w:val="00DB0398"/>
    <w:rsid w:val="00DB2782"/>
    <w:rsid w:val="00DB2BD9"/>
    <w:rsid w:val="00DB2EF6"/>
    <w:rsid w:val="00DB39E6"/>
    <w:rsid w:val="00DB42CA"/>
    <w:rsid w:val="00DB4B4A"/>
    <w:rsid w:val="00DB67F0"/>
    <w:rsid w:val="00DB72C6"/>
    <w:rsid w:val="00DC0040"/>
    <w:rsid w:val="00DC448C"/>
    <w:rsid w:val="00DC47A5"/>
    <w:rsid w:val="00DC51E6"/>
    <w:rsid w:val="00DC574D"/>
    <w:rsid w:val="00DC5C9B"/>
    <w:rsid w:val="00DC6D97"/>
    <w:rsid w:val="00DC6FA2"/>
    <w:rsid w:val="00DD135A"/>
    <w:rsid w:val="00DD2A65"/>
    <w:rsid w:val="00DD39E5"/>
    <w:rsid w:val="00DD47A1"/>
    <w:rsid w:val="00DD6A53"/>
    <w:rsid w:val="00DE1785"/>
    <w:rsid w:val="00DE22BD"/>
    <w:rsid w:val="00DE2B39"/>
    <w:rsid w:val="00DE2F30"/>
    <w:rsid w:val="00DE4677"/>
    <w:rsid w:val="00DE53A7"/>
    <w:rsid w:val="00DE6CE7"/>
    <w:rsid w:val="00DF04F1"/>
    <w:rsid w:val="00DF130F"/>
    <w:rsid w:val="00DF14F9"/>
    <w:rsid w:val="00DF1FEA"/>
    <w:rsid w:val="00DF362F"/>
    <w:rsid w:val="00DF42CA"/>
    <w:rsid w:val="00DF5D8A"/>
    <w:rsid w:val="00DF6389"/>
    <w:rsid w:val="00DF7D1F"/>
    <w:rsid w:val="00DF7E29"/>
    <w:rsid w:val="00E00C7A"/>
    <w:rsid w:val="00E01508"/>
    <w:rsid w:val="00E0160F"/>
    <w:rsid w:val="00E02051"/>
    <w:rsid w:val="00E03A2C"/>
    <w:rsid w:val="00E05B82"/>
    <w:rsid w:val="00E10036"/>
    <w:rsid w:val="00E1083A"/>
    <w:rsid w:val="00E10F88"/>
    <w:rsid w:val="00E15921"/>
    <w:rsid w:val="00E16534"/>
    <w:rsid w:val="00E17326"/>
    <w:rsid w:val="00E17A9F"/>
    <w:rsid w:val="00E20336"/>
    <w:rsid w:val="00E21D95"/>
    <w:rsid w:val="00E23551"/>
    <w:rsid w:val="00E2362B"/>
    <w:rsid w:val="00E257A7"/>
    <w:rsid w:val="00E27174"/>
    <w:rsid w:val="00E27D1F"/>
    <w:rsid w:val="00E30CAC"/>
    <w:rsid w:val="00E32C7E"/>
    <w:rsid w:val="00E342F7"/>
    <w:rsid w:val="00E34AE4"/>
    <w:rsid w:val="00E3515F"/>
    <w:rsid w:val="00E354F7"/>
    <w:rsid w:val="00E3604E"/>
    <w:rsid w:val="00E361E9"/>
    <w:rsid w:val="00E375D1"/>
    <w:rsid w:val="00E41305"/>
    <w:rsid w:val="00E41F32"/>
    <w:rsid w:val="00E4209F"/>
    <w:rsid w:val="00E424B0"/>
    <w:rsid w:val="00E425F1"/>
    <w:rsid w:val="00E42DE7"/>
    <w:rsid w:val="00E430F9"/>
    <w:rsid w:val="00E44821"/>
    <w:rsid w:val="00E44D3D"/>
    <w:rsid w:val="00E45B85"/>
    <w:rsid w:val="00E46C3E"/>
    <w:rsid w:val="00E50271"/>
    <w:rsid w:val="00E503C1"/>
    <w:rsid w:val="00E5150B"/>
    <w:rsid w:val="00E529E1"/>
    <w:rsid w:val="00E53D8F"/>
    <w:rsid w:val="00E57C5C"/>
    <w:rsid w:val="00E602B2"/>
    <w:rsid w:val="00E611F5"/>
    <w:rsid w:val="00E63799"/>
    <w:rsid w:val="00E65364"/>
    <w:rsid w:val="00E6568B"/>
    <w:rsid w:val="00E65697"/>
    <w:rsid w:val="00E663D0"/>
    <w:rsid w:val="00E70D36"/>
    <w:rsid w:val="00E738BD"/>
    <w:rsid w:val="00E745AB"/>
    <w:rsid w:val="00E7543C"/>
    <w:rsid w:val="00E754C7"/>
    <w:rsid w:val="00E7603B"/>
    <w:rsid w:val="00E76F32"/>
    <w:rsid w:val="00E776D9"/>
    <w:rsid w:val="00E8353E"/>
    <w:rsid w:val="00E83B63"/>
    <w:rsid w:val="00E84AE0"/>
    <w:rsid w:val="00E84C0F"/>
    <w:rsid w:val="00E92027"/>
    <w:rsid w:val="00E93F24"/>
    <w:rsid w:val="00E94659"/>
    <w:rsid w:val="00E94F22"/>
    <w:rsid w:val="00E95EC2"/>
    <w:rsid w:val="00E975E5"/>
    <w:rsid w:val="00EA056A"/>
    <w:rsid w:val="00EA149E"/>
    <w:rsid w:val="00EA2558"/>
    <w:rsid w:val="00EA25E0"/>
    <w:rsid w:val="00EA54E8"/>
    <w:rsid w:val="00EA72DD"/>
    <w:rsid w:val="00EA7911"/>
    <w:rsid w:val="00EB23AC"/>
    <w:rsid w:val="00EB352D"/>
    <w:rsid w:val="00EB48F1"/>
    <w:rsid w:val="00EC0A28"/>
    <w:rsid w:val="00EC171C"/>
    <w:rsid w:val="00EC187C"/>
    <w:rsid w:val="00EC1B07"/>
    <w:rsid w:val="00EC2E8C"/>
    <w:rsid w:val="00EC5450"/>
    <w:rsid w:val="00EC5781"/>
    <w:rsid w:val="00EC6039"/>
    <w:rsid w:val="00EC79B4"/>
    <w:rsid w:val="00ED00B7"/>
    <w:rsid w:val="00ED218B"/>
    <w:rsid w:val="00ED2505"/>
    <w:rsid w:val="00ED2DDD"/>
    <w:rsid w:val="00ED32CF"/>
    <w:rsid w:val="00ED4287"/>
    <w:rsid w:val="00ED490D"/>
    <w:rsid w:val="00ED7F15"/>
    <w:rsid w:val="00EE145C"/>
    <w:rsid w:val="00EE1585"/>
    <w:rsid w:val="00EE2AC4"/>
    <w:rsid w:val="00EE367C"/>
    <w:rsid w:val="00EE3DC0"/>
    <w:rsid w:val="00EE604B"/>
    <w:rsid w:val="00EE69F3"/>
    <w:rsid w:val="00EE75E2"/>
    <w:rsid w:val="00EF066F"/>
    <w:rsid w:val="00EF1523"/>
    <w:rsid w:val="00EF3E1B"/>
    <w:rsid w:val="00EF6B84"/>
    <w:rsid w:val="00EF759D"/>
    <w:rsid w:val="00F0014B"/>
    <w:rsid w:val="00F005FE"/>
    <w:rsid w:val="00F00ACD"/>
    <w:rsid w:val="00F01B28"/>
    <w:rsid w:val="00F02786"/>
    <w:rsid w:val="00F07CA1"/>
    <w:rsid w:val="00F10E7A"/>
    <w:rsid w:val="00F10FDF"/>
    <w:rsid w:val="00F11F9C"/>
    <w:rsid w:val="00F15346"/>
    <w:rsid w:val="00F15389"/>
    <w:rsid w:val="00F17807"/>
    <w:rsid w:val="00F205AB"/>
    <w:rsid w:val="00F208A8"/>
    <w:rsid w:val="00F213A7"/>
    <w:rsid w:val="00F22A44"/>
    <w:rsid w:val="00F246AC"/>
    <w:rsid w:val="00F25E77"/>
    <w:rsid w:val="00F323E7"/>
    <w:rsid w:val="00F3267B"/>
    <w:rsid w:val="00F3310D"/>
    <w:rsid w:val="00F33A78"/>
    <w:rsid w:val="00F36728"/>
    <w:rsid w:val="00F36BED"/>
    <w:rsid w:val="00F42549"/>
    <w:rsid w:val="00F42F62"/>
    <w:rsid w:val="00F43265"/>
    <w:rsid w:val="00F43684"/>
    <w:rsid w:val="00F4441C"/>
    <w:rsid w:val="00F44DE2"/>
    <w:rsid w:val="00F46DAF"/>
    <w:rsid w:val="00F47CDB"/>
    <w:rsid w:val="00F54ED2"/>
    <w:rsid w:val="00F60560"/>
    <w:rsid w:val="00F61BCA"/>
    <w:rsid w:val="00F61D71"/>
    <w:rsid w:val="00F622D4"/>
    <w:rsid w:val="00F64FA0"/>
    <w:rsid w:val="00F65BFB"/>
    <w:rsid w:val="00F72401"/>
    <w:rsid w:val="00F727C1"/>
    <w:rsid w:val="00F72D9A"/>
    <w:rsid w:val="00F735C2"/>
    <w:rsid w:val="00F75518"/>
    <w:rsid w:val="00F76689"/>
    <w:rsid w:val="00F76A8D"/>
    <w:rsid w:val="00F809A0"/>
    <w:rsid w:val="00F81C16"/>
    <w:rsid w:val="00F829AF"/>
    <w:rsid w:val="00F84573"/>
    <w:rsid w:val="00F8513A"/>
    <w:rsid w:val="00F93081"/>
    <w:rsid w:val="00F95D14"/>
    <w:rsid w:val="00F97A6B"/>
    <w:rsid w:val="00FA0085"/>
    <w:rsid w:val="00FA3066"/>
    <w:rsid w:val="00FA31CB"/>
    <w:rsid w:val="00FA433D"/>
    <w:rsid w:val="00FA5117"/>
    <w:rsid w:val="00FA5E4D"/>
    <w:rsid w:val="00FA6817"/>
    <w:rsid w:val="00FB0B35"/>
    <w:rsid w:val="00FB3CB4"/>
    <w:rsid w:val="00FB4787"/>
    <w:rsid w:val="00FB618C"/>
    <w:rsid w:val="00FC0E33"/>
    <w:rsid w:val="00FC0ED8"/>
    <w:rsid w:val="00FC3821"/>
    <w:rsid w:val="00FC5B9D"/>
    <w:rsid w:val="00FC5BD5"/>
    <w:rsid w:val="00FC7B83"/>
    <w:rsid w:val="00FD0753"/>
    <w:rsid w:val="00FD0DD4"/>
    <w:rsid w:val="00FD42F5"/>
    <w:rsid w:val="00FD49E0"/>
    <w:rsid w:val="00FE1945"/>
    <w:rsid w:val="00FE3068"/>
    <w:rsid w:val="00FE3B08"/>
    <w:rsid w:val="00FE3DAF"/>
    <w:rsid w:val="00FE4399"/>
    <w:rsid w:val="00FE4873"/>
    <w:rsid w:val="00FE495D"/>
    <w:rsid w:val="00FE627B"/>
    <w:rsid w:val="00FE6F4C"/>
    <w:rsid w:val="00FF0B89"/>
    <w:rsid w:val="00FF169D"/>
    <w:rsid w:val="00FF318D"/>
    <w:rsid w:val="00FF3FAC"/>
    <w:rsid w:val="00FF44A8"/>
    <w:rsid w:val="011473B7"/>
    <w:rsid w:val="019A4B9D"/>
    <w:rsid w:val="022B6915"/>
    <w:rsid w:val="02AE7397"/>
    <w:rsid w:val="03777257"/>
    <w:rsid w:val="03DE595C"/>
    <w:rsid w:val="04C50E96"/>
    <w:rsid w:val="04CF7295"/>
    <w:rsid w:val="04E247EA"/>
    <w:rsid w:val="05141836"/>
    <w:rsid w:val="05523231"/>
    <w:rsid w:val="05FC0A1B"/>
    <w:rsid w:val="06F83A8D"/>
    <w:rsid w:val="07A70F85"/>
    <w:rsid w:val="07CC53C7"/>
    <w:rsid w:val="0802236B"/>
    <w:rsid w:val="088F0199"/>
    <w:rsid w:val="08B81A48"/>
    <w:rsid w:val="09077FC5"/>
    <w:rsid w:val="093367BA"/>
    <w:rsid w:val="0A314A3F"/>
    <w:rsid w:val="0A867188"/>
    <w:rsid w:val="0AAC795F"/>
    <w:rsid w:val="0C217DA1"/>
    <w:rsid w:val="0D8A62C4"/>
    <w:rsid w:val="0D957462"/>
    <w:rsid w:val="0DD67852"/>
    <w:rsid w:val="0DFD65DA"/>
    <w:rsid w:val="0E5263A7"/>
    <w:rsid w:val="0ECB4504"/>
    <w:rsid w:val="0FF920DB"/>
    <w:rsid w:val="10497B66"/>
    <w:rsid w:val="10637D8E"/>
    <w:rsid w:val="1257021F"/>
    <w:rsid w:val="127B7027"/>
    <w:rsid w:val="13F365E4"/>
    <w:rsid w:val="13FF0A14"/>
    <w:rsid w:val="14897F31"/>
    <w:rsid w:val="14910A90"/>
    <w:rsid w:val="15486C4B"/>
    <w:rsid w:val="159A431F"/>
    <w:rsid w:val="15A267B5"/>
    <w:rsid w:val="15DD60B9"/>
    <w:rsid w:val="15ED3B99"/>
    <w:rsid w:val="1716765D"/>
    <w:rsid w:val="17B20F52"/>
    <w:rsid w:val="17D269CE"/>
    <w:rsid w:val="180A5A06"/>
    <w:rsid w:val="192931CF"/>
    <w:rsid w:val="199C2EB1"/>
    <w:rsid w:val="19F21BBC"/>
    <w:rsid w:val="1AAB3FA0"/>
    <w:rsid w:val="1AC23963"/>
    <w:rsid w:val="1AE12E3D"/>
    <w:rsid w:val="1B26532A"/>
    <w:rsid w:val="1B322F0E"/>
    <w:rsid w:val="1B7136C1"/>
    <w:rsid w:val="1B9D7FD1"/>
    <w:rsid w:val="1BE539B4"/>
    <w:rsid w:val="1C3907FD"/>
    <w:rsid w:val="1C7463C1"/>
    <w:rsid w:val="1CB4399C"/>
    <w:rsid w:val="1CF9506A"/>
    <w:rsid w:val="1D142CC0"/>
    <w:rsid w:val="1D387B3A"/>
    <w:rsid w:val="1D67550A"/>
    <w:rsid w:val="1DC00964"/>
    <w:rsid w:val="1DC56FD5"/>
    <w:rsid w:val="1DEB4375"/>
    <w:rsid w:val="1F2869C7"/>
    <w:rsid w:val="1F496649"/>
    <w:rsid w:val="1FA524DC"/>
    <w:rsid w:val="209812F0"/>
    <w:rsid w:val="20A57BD4"/>
    <w:rsid w:val="20C55E72"/>
    <w:rsid w:val="212176ED"/>
    <w:rsid w:val="216B4ADB"/>
    <w:rsid w:val="217B37AD"/>
    <w:rsid w:val="21E90D0A"/>
    <w:rsid w:val="22816B8D"/>
    <w:rsid w:val="238E5EC7"/>
    <w:rsid w:val="23907C91"/>
    <w:rsid w:val="23BC22D7"/>
    <w:rsid w:val="23CE2E92"/>
    <w:rsid w:val="23F31F29"/>
    <w:rsid w:val="245218C7"/>
    <w:rsid w:val="251C43B0"/>
    <w:rsid w:val="25840043"/>
    <w:rsid w:val="265312C2"/>
    <w:rsid w:val="27B32BD6"/>
    <w:rsid w:val="27CA7151"/>
    <w:rsid w:val="27FF2C57"/>
    <w:rsid w:val="286412FC"/>
    <w:rsid w:val="28C9357B"/>
    <w:rsid w:val="28D80B25"/>
    <w:rsid w:val="28E35DD5"/>
    <w:rsid w:val="2AA12F15"/>
    <w:rsid w:val="2AA25F11"/>
    <w:rsid w:val="2B011FF6"/>
    <w:rsid w:val="2B1438C9"/>
    <w:rsid w:val="2B3F1C62"/>
    <w:rsid w:val="2CC536DB"/>
    <w:rsid w:val="2D0746D0"/>
    <w:rsid w:val="2D0F6B01"/>
    <w:rsid w:val="2D7857F7"/>
    <w:rsid w:val="2E5F1C6C"/>
    <w:rsid w:val="2E6A000B"/>
    <w:rsid w:val="2E89643F"/>
    <w:rsid w:val="2F0F0A18"/>
    <w:rsid w:val="2F7645A9"/>
    <w:rsid w:val="2FD17BA3"/>
    <w:rsid w:val="30613B9B"/>
    <w:rsid w:val="30811CA1"/>
    <w:rsid w:val="30DE526F"/>
    <w:rsid w:val="3178291E"/>
    <w:rsid w:val="31F35F71"/>
    <w:rsid w:val="322A1DC7"/>
    <w:rsid w:val="324E2292"/>
    <w:rsid w:val="3359317D"/>
    <w:rsid w:val="3379309E"/>
    <w:rsid w:val="33795ECC"/>
    <w:rsid w:val="33C57F19"/>
    <w:rsid w:val="350B4D30"/>
    <w:rsid w:val="353331BD"/>
    <w:rsid w:val="356AE87F"/>
    <w:rsid w:val="363D5A9A"/>
    <w:rsid w:val="37233765"/>
    <w:rsid w:val="38916B14"/>
    <w:rsid w:val="38A20AAD"/>
    <w:rsid w:val="38D94E93"/>
    <w:rsid w:val="39CE65F1"/>
    <w:rsid w:val="39F4442F"/>
    <w:rsid w:val="3A8303C5"/>
    <w:rsid w:val="3B1D4ED3"/>
    <w:rsid w:val="3B7F72DF"/>
    <w:rsid w:val="3BFC4C8D"/>
    <w:rsid w:val="3C1557B6"/>
    <w:rsid w:val="3CFF0109"/>
    <w:rsid w:val="3E6F38A3"/>
    <w:rsid w:val="3E99749E"/>
    <w:rsid w:val="3EDC76F0"/>
    <w:rsid w:val="3F143205"/>
    <w:rsid w:val="3FFD5011"/>
    <w:rsid w:val="404C53C1"/>
    <w:rsid w:val="404D41CE"/>
    <w:rsid w:val="40AB60F0"/>
    <w:rsid w:val="40AF61D9"/>
    <w:rsid w:val="41575BEC"/>
    <w:rsid w:val="42046314"/>
    <w:rsid w:val="424968B6"/>
    <w:rsid w:val="43422025"/>
    <w:rsid w:val="43B54368"/>
    <w:rsid w:val="43C04976"/>
    <w:rsid w:val="44051C9B"/>
    <w:rsid w:val="453161C2"/>
    <w:rsid w:val="453E3FCF"/>
    <w:rsid w:val="45B93ED6"/>
    <w:rsid w:val="45C37F75"/>
    <w:rsid w:val="46260BC0"/>
    <w:rsid w:val="46637D17"/>
    <w:rsid w:val="46AD048E"/>
    <w:rsid w:val="470F26EC"/>
    <w:rsid w:val="47A73452"/>
    <w:rsid w:val="48AC4A11"/>
    <w:rsid w:val="48DD41ED"/>
    <w:rsid w:val="48E54F9A"/>
    <w:rsid w:val="491035C5"/>
    <w:rsid w:val="49EC529D"/>
    <w:rsid w:val="4A5306BC"/>
    <w:rsid w:val="4ABF5559"/>
    <w:rsid w:val="4B9B3624"/>
    <w:rsid w:val="4BC62100"/>
    <w:rsid w:val="4C4B1460"/>
    <w:rsid w:val="4CDC7A13"/>
    <w:rsid w:val="4D50155E"/>
    <w:rsid w:val="4DAA75DD"/>
    <w:rsid w:val="4DD00A3B"/>
    <w:rsid w:val="4EF961B4"/>
    <w:rsid w:val="4F705BAA"/>
    <w:rsid w:val="4F84414B"/>
    <w:rsid w:val="4FCA3E78"/>
    <w:rsid w:val="524A404E"/>
    <w:rsid w:val="528E181D"/>
    <w:rsid w:val="52B20D9C"/>
    <w:rsid w:val="53256C1D"/>
    <w:rsid w:val="53715BE8"/>
    <w:rsid w:val="537C74D3"/>
    <w:rsid w:val="53FF37FC"/>
    <w:rsid w:val="55821416"/>
    <w:rsid w:val="56AC6435"/>
    <w:rsid w:val="570C13B2"/>
    <w:rsid w:val="57533637"/>
    <w:rsid w:val="57FDE57C"/>
    <w:rsid w:val="581428E5"/>
    <w:rsid w:val="589C5C1F"/>
    <w:rsid w:val="58A706DC"/>
    <w:rsid w:val="596D29C0"/>
    <w:rsid w:val="5A602722"/>
    <w:rsid w:val="5A6A553B"/>
    <w:rsid w:val="5A9E7254"/>
    <w:rsid w:val="5ACB4F95"/>
    <w:rsid w:val="5C6D3D3E"/>
    <w:rsid w:val="5CBF4143"/>
    <w:rsid w:val="5CE83948"/>
    <w:rsid w:val="5D011B63"/>
    <w:rsid w:val="5D295D64"/>
    <w:rsid w:val="5D395350"/>
    <w:rsid w:val="5D3A60C7"/>
    <w:rsid w:val="5D7A6CDA"/>
    <w:rsid w:val="5DD70260"/>
    <w:rsid w:val="5E20559E"/>
    <w:rsid w:val="5E2436C1"/>
    <w:rsid w:val="5F0D2B8F"/>
    <w:rsid w:val="5F8740FC"/>
    <w:rsid w:val="5FE570CA"/>
    <w:rsid w:val="5FFA3BD4"/>
    <w:rsid w:val="60433A57"/>
    <w:rsid w:val="607C6704"/>
    <w:rsid w:val="60C574D9"/>
    <w:rsid w:val="60E90706"/>
    <w:rsid w:val="614658DF"/>
    <w:rsid w:val="61565DA5"/>
    <w:rsid w:val="61F60700"/>
    <w:rsid w:val="621F1A1B"/>
    <w:rsid w:val="622642E7"/>
    <w:rsid w:val="62540C82"/>
    <w:rsid w:val="62803967"/>
    <w:rsid w:val="633036F9"/>
    <w:rsid w:val="63E130ED"/>
    <w:rsid w:val="64413CE1"/>
    <w:rsid w:val="645F615F"/>
    <w:rsid w:val="64BE2E5D"/>
    <w:rsid w:val="65366BB0"/>
    <w:rsid w:val="654F1D62"/>
    <w:rsid w:val="65C00460"/>
    <w:rsid w:val="65EE58FF"/>
    <w:rsid w:val="663022A0"/>
    <w:rsid w:val="671E2E89"/>
    <w:rsid w:val="67A0664E"/>
    <w:rsid w:val="67A93219"/>
    <w:rsid w:val="67F6221F"/>
    <w:rsid w:val="68223C1F"/>
    <w:rsid w:val="68D21369"/>
    <w:rsid w:val="697A0BA1"/>
    <w:rsid w:val="69BC1992"/>
    <w:rsid w:val="69DB35B8"/>
    <w:rsid w:val="69F45961"/>
    <w:rsid w:val="6A012147"/>
    <w:rsid w:val="6A4A521A"/>
    <w:rsid w:val="6A67452A"/>
    <w:rsid w:val="6A873E72"/>
    <w:rsid w:val="6B9B7775"/>
    <w:rsid w:val="6C0810A1"/>
    <w:rsid w:val="6C3B15F0"/>
    <w:rsid w:val="6CEB47B0"/>
    <w:rsid w:val="6CF13710"/>
    <w:rsid w:val="6D8DA1DF"/>
    <w:rsid w:val="6E2727FF"/>
    <w:rsid w:val="6E2C4352"/>
    <w:rsid w:val="6E96065B"/>
    <w:rsid w:val="6EAC3041"/>
    <w:rsid w:val="6F8D57D3"/>
    <w:rsid w:val="70162B49"/>
    <w:rsid w:val="706E2255"/>
    <w:rsid w:val="70C8378F"/>
    <w:rsid w:val="70E24C61"/>
    <w:rsid w:val="70FA1261"/>
    <w:rsid w:val="711A6B75"/>
    <w:rsid w:val="72EB7679"/>
    <w:rsid w:val="73CD2AD1"/>
    <w:rsid w:val="746B23D4"/>
    <w:rsid w:val="75291A6C"/>
    <w:rsid w:val="75F93477"/>
    <w:rsid w:val="76093889"/>
    <w:rsid w:val="761262E7"/>
    <w:rsid w:val="77267286"/>
    <w:rsid w:val="774424DD"/>
    <w:rsid w:val="775A71EA"/>
    <w:rsid w:val="77DD06E0"/>
    <w:rsid w:val="781362C0"/>
    <w:rsid w:val="7884223C"/>
    <w:rsid w:val="78FF2308"/>
    <w:rsid w:val="797C40E9"/>
    <w:rsid w:val="79C64179"/>
    <w:rsid w:val="79F9370A"/>
    <w:rsid w:val="79FB20A4"/>
    <w:rsid w:val="79FD3EFB"/>
    <w:rsid w:val="7A1509BD"/>
    <w:rsid w:val="7B5E1AEE"/>
    <w:rsid w:val="7B853B14"/>
    <w:rsid w:val="7BDA22F9"/>
    <w:rsid w:val="7EED728B"/>
    <w:rsid w:val="7F1B1D9D"/>
    <w:rsid w:val="7FA201BA"/>
    <w:rsid w:val="7FA912CB"/>
    <w:rsid w:val="7FDB714B"/>
    <w:rsid w:val="7FF2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0" w:defUnhideWhenUsed="0" w:defQFormat="0" w:count="267">
    <w:lsdException w:name="Normal" w:locked="0"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iPriority="0" w:qFormat="1"/>
    <w:lsdException w:name="header" w:locked="0" w:uiPriority="0" w:qFormat="1"/>
    <w:lsdException w:name="footer" w:locked="0" w:semiHidden="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locked="0" w:semiHidden="1" w:qFormat="1"/>
    <w:lsdException w:name="line number" w:semiHidden="1" w:unhideWhenUsed="1"/>
    <w:lsdException w:name="page number" w:locked="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locked="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locked="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0" w:qFormat="1"/>
    <w:lsdException w:name="E-mail Signature" w:semiHidden="1" w:unhideWhenUsed="1"/>
    <w:lsdException w:name="HTML Top of Form" w:locked="0" w:semiHidden="1" w:unhideWhenUsed="1"/>
    <w:lsdException w:name="HTML Bottom of Form" w:locked="0"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locked="0" w:unhideWhenUsed="1" w:qFormat="1"/>
    <w:lsdException w:name="annotation subject" w:semiHidden="1" w:uiPriority="0" w:qFormat="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uiPriority="0" w:qFormat="1"/>
    <w:lsdException w:name="Table Theme" w:semiHidden="1" w:unhideWhenUsed="1"/>
    <w:lsdException w:name="Placeholder Text" w:locked="0" w:semiHidden="1" w:unhideWhenUsed="1"/>
    <w:lsdException w:name="No Spacing" w:locked="0" w:semiHidden="1"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nhideWhenUsed="1"/>
    <w:lsdException w:name="List Paragraph" w:locked="0" w:uiPriority="34" w:qFormat="1"/>
    <w:lsdException w:name="Quote" w:locked="0" w:semiHidden="1" w:unhideWhenUsed="1"/>
    <w:lsdException w:name="Intense Quote" w:locked="0" w:semiHidden="1"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a">
    <w:name w:val="Normal"/>
    <w:qFormat/>
    <w:pPr>
      <w:widowControl w:val="0"/>
      <w:jc w:val="both"/>
    </w:pPr>
    <w:rPr>
      <w:kern w:val="2"/>
      <w:sz w:val="21"/>
      <w:szCs w:val="21"/>
    </w:rPr>
  </w:style>
  <w:style w:type="paragraph" w:styleId="2">
    <w:name w:val="heading 2"/>
    <w:basedOn w:val="aa"/>
    <w:next w:val="aa"/>
    <w:qFormat/>
    <w:locked/>
    <w:pPr>
      <w:spacing w:line="360" w:lineRule="auto"/>
      <w:outlineLvl w:val="1"/>
    </w:pPr>
    <w:rPr>
      <w:b/>
    </w:rPr>
  </w:style>
  <w:style w:type="paragraph" w:styleId="3">
    <w:name w:val="heading 3"/>
    <w:basedOn w:val="aa"/>
    <w:next w:val="aa"/>
    <w:qFormat/>
    <w:locked/>
    <w:pPr>
      <w:outlineLvl w:val="2"/>
    </w:pPr>
  </w:style>
  <w:style w:type="paragraph" w:styleId="4">
    <w:name w:val="heading 4"/>
    <w:basedOn w:val="3"/>
    <w:next w:val="aa"/>
    <w:qFormat/>
    <w:locked/>
    <w:pPr>
      <w:outlineLvl w:val="3"/>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locked/>
    <w:pPr>
      <w:ind w:firstLine="420"/>
    </w:pPr>
    <w:rPr>
      <w:rFonts w:ascii="宋体"/>
      <w:szCs w:val="20"/>
    </w:rPr>
  </w:style>
  <w:style w:type="paragraph" w:styleId="af">
    <w:name w:val="caption"/>
    <w:basedOn w:val="aa"/>
    <w:next w:val="aa"/>
    <w:qFormat/>
    <w:locked/>
    <w:pPr>
      <w:adjustRightInd w:val="0"/>
      <w:spacing w:before="152" w:after="160" w:line="312" w:lineRule="atLeast"/>
      <w:textAlignment w:val="baseline"/>
    </w:pPr>
    <w:rPr>
      <w:rFonts w:ascii="Arial" w:eastAsia="黑体" w:hAnsi="Arial"/>
      <w:kern w:val="0"/>
      <w:szCs w:val="20"/>
    </w:rPr>
  </w:style>
  <w:style w:type="paragraph" w:styleId="af0">
    <w:name w:val="annotation text"/>
    <w:basedOn w:val="aa"/>
    <w:semiHidden/>
    <w:qFormat/>
    <w:locked/>
    <w:pPr>
      <w:jc w:val="left"/>
    </w:pPr>
  </w:style>
  <w:style w:type="paragraph" w:styleId="30">
    <w:name w:val="Body Text 3"/>
    <w:basedOn w:val="aa"/>
    <w:link w:val="3Char"/>
    <w:uiPriority w:val="99"/>
    <w:qFormat/>
    <w:pPr>
      <w:adjustRightInd w:val="0"/>
      <w:spacing w:before="40" w:after="40" w:line="20" w:lineRule="atLeast"/>
      <w:jc w:val="left"/>
      <w:textAlignment w:val="baseline"/>
    </w:pPr>
    <w:rPr>
      <w:kern w:val="0"/>
    </w:rPr>
  </w:style>
  <w:style w:type="paragraph" w:styleId="af1">
    <w:name w:val="Body Text"/>
    <w:basedOn w:val="aa"/>
    <w:qFormat/>
    <w:locked/>
    <w:pPr>
      <w:spacing w:after="120"/>
    </w:pPr>
  </w:style>
  <w:style w:type="paragraph" w:styleId="af2">
    <w:name w:val="Body Text Indent"/>
    <w:basedOn w:val="aa"/>
    <w:qFormat/>
    <w:locked/>
    <w:pPr>
      <w:spacing w:after="120"/>
      <w:ind w:leftChars="200" w:left="420"/>
    </w:pPr>
    <w:rPr>
      <w:rFonts w:ascii="Calibri" w:hAnsi="Calibri"/>
      <w:szCs w:val="20"/>
    </w:rPr>
  </w:style>
  <w:style w:type="paragraph" w:styleId="af3">
    <w:name w:val="Block Text"/>
    <w:basedOn w:val="aa"/>
    <w:qFormat/>
    <w:locked/>
    <w:pPr>
      <w:suppressAutoHyphens/>
      <w:spacing w:beforeLines="30" w:before="93" w:line="260" w:lineRule="exact"/>
      <w:ind w:left="-57" w:right="-57"/>
      <w:jc w:val="center"/>
    </w:pPr>
    <w:rPr>
      <w:color w:val="0000FF"/>
      <w:sz w:val="20"/>
      <w:szCs w:val="20"/>
    </w:rPr>
  </w:style>
  <w:style w:type="paragraph" w:styleId="af4">
    <w:name w:val="Plain Text"/>
    <w:basedOn w:val="aa"/>
    <w:link w:val="Char"/>
    <w:uiPriority w:val="99"/>
    <w:qFormat/>
    <w:rPr>
      <w:rFonts w:ascii="宋体" w:hAnsi="Courier New" w:cs="宋体"/>
    </w:rPr>
  </w:style>
  <w:style w:type="paragraph" w:styleId="af5">
    <w:name w:val="Date"/>
    <w:basedOn w:val="aa"/>
    <w:next w:val="aa"/>
    <w:link w:val="Char0"/>
    <w:uiPriority w:val="99"/>
    <w:qFormat/>
    <w:rPr>
      <w:rFonts w:ascii="宋体" w:hAnsi="Courier New"/>
    </w:rPr>
  </w:style>
  <w:style w:type="paragraph" w:styleId="20">
    <w:name w:val="Body Text Indent 2"/>
    <w:basedOn w:val="aa"/>
    <w:link w:val="2Char"/>
    <w:qFormat/>
    <w:locked/>
    <w:pPr>
      <w:spacing w:after="120" w:line="480" w:lineRule="auto"/>
      <w:ind w:leftChars="200" w:left="420"/>
    </w:pPr>
  </w:style>
  <w:style w:type="paragraph" w:styleId="af6">
    <w:name w:val="Balloon Text"/>
    <w:basedOn w:val="aa"/>
    <w:link w:val="Char1"/>
    <w:uiPriority w:val="99"/>
    <w:semiHidden/>
    <w:qFormat/>
    <w:rPr>
      <w:sz w:val="18"/>
      <w:szCs w:val="18"/>
    </w:rPr>
  </w:style>
  <w:style w:type="paragraph" w:styleId="af7">
    <w:name w:val="footer"/>
    <w:basedOn w:val="aa"/>
    <w:link w:val="Char2"/>
    <w:uiPriority w:val="99"/>
    <w:semiHidden/>
    <w:qFormat/>
    <w:pPr>
      <w:tabs>
        <w:tab w:val="center" w:pos="4153"/>
        <w:tab w:val="right" w:pos="8306"/>
      </w:tabs>
      <w:snapToGrid w:val="0"/>
      <w:jc w:val="left"/>
    </w:pPr>
    <w:rPr>
      <w:sz w:val="18"/>
      <w:szCs w:val="18"/>
    </w:rPr>
  </w:style>
  <w:style w:type="paragraph" w:styleId="af8">
    <w:name w:val="header"/>
    <w:basedOn w:val="a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a"/>
    <w:next w:val="aa"/>
    <w:semiHidden/>
    <w:qFormat/>
    <w:locked/>
  </w:style>
  <w:style w:type="paragraph" w:styleId="af9">
    <w:name w:val="Subtitle"/>
    <w:basedOn w:val="aa"/>
    <w:next w:val="aa"/>
    <w:qFormat/>
    <w:locked/>
    <w:pPr>
      <w:spacing w:before="240" w:after="60" w:line="312" w:lineRule="auto"/>
      <w:jc w:val="left"/>
      <w:outlineLvl w:val="1"/>
    </w:pPr>
    <w:rPr>
      <w:rFonts w:ascii="Cambria" w:eastAsia="黑体" w:hAnsi="Cambria"/>
      <w:bCs/>
      <w:kern w:val="28"/>
      <w:szCs w:val="32"/>
    </w:rPr>
  </w:style>
  <w:style w:type="paragraph" w:styleId="afa">
    <w:name w:val="footnote text"/>
    <w:basedOn w:val="aa"/>
    <w:qFormat/>
    <w:locked/>
    <w:pPr>
      <w:adjustRightInd w:val="0"/>
      <w:snapToGrid w:val="0"/>
      <w:spacing w:line="312" w:lineRule="atLeast"/>
      <w:jc w:val="left"/>
      <w:textAlignment w:val="baseline"/>
    </w:pPr>
    <w:rPr>
      <w:sz w:val="18"/>
      <w:szCs w:val="18"/>
    </w:rPr>
  </w:style>
  <w:style w:type="paragraph" w:styleId="31">
    <w:name w:val="Body Text Indent 3"/>
    <w:basedOn w:val="aa"/>
    <w:link w:val="3Char0"/>
    <w:qFormat/>
    <w:locked/>
    <w:pPr>
      <w:spacing w:before="50" w:line="420" w:lineRule="exact"/>
      <w:ind w:firstLineChars="200" w:firstLine="471"/>
    </w:pPr>
    <w:rPr>
      <w:rFonts w:eastAsia="Times New Roman"/>
      <w:kern w:val="0"/>
      <w:sz w:val="16"/>
      <w:szCs w:val="16"/>
    </w:rPr>
  </w:style>
  <w:style w:type="paragraph" w:styleId="afb">
    <w:name w:val="table of figures"/>
    <w:basedOn w:val="aa"/>
    <w:next w:val="aa"/>
    <w:qFormat/>
    <w:locked/>
    <w:rPr>
      <w:szCs w:val="20"/>
    </w:rPr>
  </w:style>
  <w:style w:type="paragraph" w:styleId="21">
    <w:name w:val="toc 2"/>
    <w:basedOn w:val="1"/>
    <w:next w:val="aa"/>
    <w:qFormat/>
    <w:locked/>
    <w:pPr>
      <w:widowControl/>
    </w:pPr>
    <w:rPr>
      <w:rFonts w:ascii="宋体"/>
      <w:kern w:val="0"/>
      <w:szCs w:val="20"/>
    </w:rPr>
  </w:style>
  <w:style w:type="paragraph" w:styleId="22">
    <w:name w:val="Body Text 2"/>
    <w:basedOn w:val="aa"/>
    <w:link w:val="2Char0"/>
    <w:qFormat/>
    <w:locked/>
    <w:rPr>
      <w:rFonts w:ascii="宋体"/>
      <w:sz w:val="24"/>
      <w:szCs w:val="24"/>
    </w:rPr>
  </w:style>
  <w:style w:type="paragraph" w:styleId="HTML">
    <w:name w:val="HTML Preformatted"/>
    <w:basedOn w:val="aa"/>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c">
    <w:name w:val="Normal (Web)"/>
    <w:basedOn w:val="aa"/>
    <w:qFormat/>
    <w:locked/>
    <w:pPr>
      <w:widowControl/>
      <w:spacing w:before="100" w:beforeAutospacing="1" w:after="100" w:afterAutospacing="1" w:line="408" w:lineRule="auto"/>
      <w:jc w:val="left"/>
    </w:pPr>
    <w:rPr>
      <w:kern w:val="0"/>
      <w:sz w:val="18"/>
      <w:szCs w:val="18"/>
    </w:rPr>
  </w:style>
  <w:style w:type="paragraph" w:styleId="afd">
    <w:name w:val="annotation subject"/>
    <w:basedOn w:val="af0"/>
    <w:next w:val="af0"/>
    <w:semiHidden/>
    <w:qFormat/>
    <w:locked/>
    <w:rPr>
      <w:b/>
      <w:bCs/>
    </w:rPr>
  </w:style>
  <w:style w:type="table" w:styleId="afe">
    <w:name w:val="Table Grid"/>
    <w:basedOn w:val="ac"/>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b"/>
    <w:uiPriority w:val="99"/>
    <w:qFormat/>
  </w:style>
  <w:style w:type="character" w:styleId="aff0">
    <w:name w:val="Hyperlink"/>
    <w:basedOn w:val="ab"/>
    <w:uiPriority w:val="99"/>
    <w:unhideWhenUsed/>
    <w:qFormat/>
    <w:locked/>
    <w:rPr>
      <w:color w:val="0000FF"/>
      <w:u w:val="single"/>
    </w:rPr>
  </w:style>
  <w:style w:type="character" w:styleId="aff1">
    <w:name w:val="annotation reference"/>
    <w:uiPriority w:val="99"/>
    <w:semiHidden/>
    <w:qFormat/>
    <w:rPr>
      <w:sz w:val="21"/>
      <w:szCs w:val="21"/>
    </w:rPr>
  </w:style>
  <w:style w:type="character" w:customStyle="1" w:styleId="3Char">
    <w:name w:val="正文文本 3 Char"/>
    <w:link w:val="30"/>
    <w:uiPriority w:val="99"/>
    <w:semiHidden/>
    <w:qFormat/>
    <w:locked/>
    <w:rPr>
      <w:rFonts w:ascii="Times New Roman" w:hAnsi="Times New Roman" w:cs="Times New Roman"/>
      <w:sz w:val="16"/>
      <w:szCs w:val="16"/>
    </w:rPr>
  </w:style>
  <w:style w:type="character" w:customStyle="1" w:styleId="Char">
    <w:name w:val="纯文本 Char"/>
    <w:link w:val="af4"/>
    <w:uiPriority w:val="99"/>
    <w:qFormat/>
    <w:locked/>
    <w:rPr>
      <w:rFonts w:ascii="宋体" w:hAnsi="Courier New" w:cs="宋体"/>
      <w:sz w:val="21"/>
      <w:szCs w:val="21"/>
    </w:rPr>
  </w:style>
  <w:style w:type="character" w:customStyle="1" w:styleId="Char0">
    <w:name w:val="日期 Char"/>
    <w:link w:val="af5"/>
    <w:uiPriority w:val="99"/>
    <w:semiHidden/>
    <w:qFormat/>
    <w:locked/>
    <w:rPr>
      <w:rFonts w:ascii="宋体" w:hAnsi="Courier New" w:cs="宋体"/>
      <w:kern w:val="2"/>
      <w:sz w:val="21"/>
      <w:szCs w:val="21"/>
    </w:rPr>
  </w:style>
  <w:style w:type="character" w:customStyle="1" w:styleId="2Char">
    <w:name w:val="正文文本缩进 2 Char"/>
    <w:link w:val="20"/>
    <w:qFormat/>
    <w:rPr>
      <w:rFonts w:eastAsia="宋体"/>
      <w:kern w:val="2"/>
      <w:sz w:val="21"/>
      <w:szCs w:val="21"/>
      <w:lang w:val="en-US" w:eastAsia="zh-CN" w:bidi="ar-SA"/>
    </w:rPr>
  </w:style>
  <w:style w:type="character" w:customStyle="1" w:styleId="Char1">
    <w:name w:val="批注框文本 Char"/>
    <w:link w:val="af6"/>
    <w:uiPriority w:val="99"/>
    <w:semiHidden/>
    <w:qFormat/>
    <w:locked/>
    <w:rPr>
      <w:rFonts w:ascii="Times New Roman" w:hAnsi="Times New Roman" w:cs="Times New Roman"/>
      <w:sz w:val="2"/>
      <w:szCs w:val="2"/>
    </w:rPr>
  </w:style>
  <w:style w:type="character" w:customStyle="1" w:styleId="Char2">
    <w:name w:val="页脚 Char"/>
    <w:link w:val="af7"/>
    <w:uiPriority w:val="99"/>
    <w:semiHidden/>
    <w:qFormat/>
    <w:locked/>
    <w:rPr>
      <w:rFonts w:ascii="Times New Roman" w:hAnsi="Times New Roman" w:cs="Times New Roman"/>
      <w:sz w:val="18"/>
      <w:szCs w:val="18"/>
    </w:rPr>
  </w:style>
  <w:style w:type="character" w:customStyle="1" w:styleId="Char3">
    <w:name w:val="页眉 Char"/>
    <w:link w:val="af8"/>
    <w:uiPriority w:val="99"/>
    <w:semiHidden/>
    <w:qFormat/>
    <w:locked/>
    <w:rPr>
      <w:rFonts w:ascii="Times New Roman" w:hAnsi="Times New Roman" w:cs="Times New Roman"/>
      <w:sz w:val="18"/>
      <w:szCs w:val="18"/>
    </w:rPr>
  </w:style>
  <w:style w:type="character" w:customStyle="1" w:styleId="3Char0">
    <w:name w:val="正文文本缩进 3 Char"/>
    <w:link w:val="31"/>
    <w:qFormat/>
    <w:rPr>
      <w:sz w:val="16"/>
      <w:szCs w:val="16"/>
      <w:lang w:bidi="ar-SA"/>
    </w:rPr>
  </w:style>
  <w:style w:type="character" w:customStyle="1" w:styleId="2Char0">
    <w:name w:val="正文文本 2 Char"/>
    <w:link w:val="22"/>
    <w:qFormat/>
    <w:locked/>
    <w:rPr>
      <w:rFonts w:ascii="宋体" w:eastAsia="宋体"/>
      <w:kern w:val="2"/>
      <w:sz w:val="24"/>
      <w:szCs w:val="24"/>
      <w:lang w:val="en-US" w:eastAsia="zh-CN" w:bidi="ar-SA"/>
    </w:rPr>
  </w:style>
  <w:style w:type="character" w:customStyle="1" w:styleId="CharChar2">
    <w:name w:val="書式なし Char Char2"/>
    <w:qFormat/>
    <w:rPr>
      <w:rFonts w:ascii="宋体" w:hAnsi="Courier New" w:cs="宋体"/>
      <w:sz w:val="21"/>
      <w:szCs w:val="21"/>
    </w:rPr>
  </w:style>
  <w:style w:type="character" w:customStyle="1" w:styleId="DateChar1">
    <w:name w:val="Date Char1"/>
    <w:qFormat/>
    <w:rPr>
      <w:rFonts w:ascii="宋体" w:hAnsi="Courier New"/>
      <w:kern w:val="2"/>
      <w:sz w:val="21"/>
    </w:rPr>
  </w:style>
  <w:style w:type="character" w:customStyle="1" w:styleId="Char4">
    <w:name w:val="段 Char"/>
    <w:link w:val="aff2"/>
    <w:qFormat/>
    <w:locked/>
    <w:rPr>
      <w:rFonts w:ascii="宋体" w:eastAsia="宋体"/>
      <w:sz w:val="21"/>
      <w:lang w:val="en-US" w:eastAsia="zh-CN" w:bidi="ar-SA"/>
    </w:rPr>
  </w:style>
  <w:style w:type="paragraph" w:customStyle="1" w:styleId="aff2">
    <w:name w:val="段"/>
    <w:link w:val="Char4"/>
    <w:qFormat/>
    <w:pPr>
      <w:autoSpaceDE w:val="0"/>
      <w:autoSpaceDN w:val="0"/>
      <w:ind w:firstLineChars="200" w:firstLine="200"/>
      <w:jc w:val="both"/>
    </w:pPr>
    <w:rPr>
      <w:rFonts w:ascii="宋体"/>
      <w:sz w:val="21"/>
    </w:rPr>
  </w:style>
  <w:style w:type="character" w:customStyle="1" w:styleId="BodyTextChar1">
    <w:name w:val="Body Text Char1"/>
    <w:qFormat/>
    <w:rPr>
      <w:rFonts w:ascii="Times New Roman" w:hAnsi="Times New Roman" w:cs="Times New Roman"/>
    </w:rPr>
  </w:style>
  <w:style w:type="character" w:customStyle="1" w:styleId="BodyTextIndentChar">
    <w:name w:val="Body Text Indent Char"/>
    <w:qFormat/>
    <w:locked/>
    <w:rPr>
      <w:rFonts w:eastAsia="宋体"/>
      <w:kern w:val="2"/>
      <w:sz w:val="21"/>
      <w:lang w:val="en-US" w:eastAsia="zh-CN"/>
    </w:rPr>
  </w:style>
  <w:style w:type="character" w:customStyle="1" w:styleId="Char5">
    <w:name w:val="字母编号列项（一级） Char"/>
    <w:link w:val="aff3"/>
    <w:qFormat/>
    <w:rPr>
      <w:rFonts w:ascii="宋体" w:eastAsia="宋体"/>
      <w:sz w:val="21"/>
      <w:lang w:val="en-US" w:eastAsia="zh-CN" w:bidi="ar-SA"/>
    </w:rPr>
  </w:style>
  <w:style w:type="paragraph" w:customStyle="1" w:styleId="aff3">
    <w:name w:val="字母编号列项（一级）"/>
    <w:link w:val="Char5"/>
    <w:qFormat/>
    <w:pPr>
      <w:ind w:leftChars="200" w:left="840" w:hangingChars="200" w:hanging="420"/>
      <w:jc w:val="both"/>
    </w:pPr>
    <w:rPr>
      <w:rFonts w:ascii="宋体"/>
      <w:sz w:val="21"/>
    </w:rPr>
  </w:style>
  <w:style w:type="character" w:customStyle="1" w:styleId="HeaderChar">
    <w:name w:val="Header Char"/>
    <w:qFormat/>
    <w:rPr>
      <w:rFonts w:ascii="Times New Roman" w:hAnsi="Times New Roman" w:cs="Times New Roman"/>
      <w:sz w:val="18"/>
      <w:szCs w:val="18"/>
    </w:rPr>
  </w:style>
  <w:style w:type="character" w:customStyle="1" w:styleId="BodyTextChar">
    <w:name w:val="Body Text Char"/>
    <w:qFormat/>
    <w:locked/>
    <w:rPr>
      <w:rFonts w:eastAsia="宋体"/>
      <w:kern w:val="2"/>
      <w:sz w:val="21"/>
      <w:lang w:val="en-US" w:eastAsia="zh-CN"/>
    </w:rPr>
  </w:style>
  <w:style w:type="character" w:customStyle="1" w:styleId="CharChar">
    <w:name w:val="書式なし Char Char"/>
    <w:qFormat/>
    <w:locked/>
    <w:rPr>
      <w:rFonts w:ascii="宋体" w:hAnsi="Courier New"/>
      <w:kern w:val="2"/>
      <w:sz w:val="21"/>
    </w:rPr>
  </w:style>
  <w:style w:type="character" w:customStyle="1" w:styleId="PlainTextChar">
    <w:name w:val="Plain Text Char"/>
    <w:qFormat/>
    <w:rPr>
      <w:rFonts w:ascii="宋体" w:eastAsia="宋体" w:hAnsi="Courier New"/>
      <w:kern w:val="2"/>
      <w:sz w:val="21"/>
      <w:lang w:val="en-US" w:eastAsia="zh-CN"/>
    </w:rPr>
  </w:style>
  <w:style w:type="character" w:customStyle="1" w:styleId="CharChar0">
    <w:name w:val="批注框文本 Char Char"/>
    <w:qFormat/>
    <w:rPr>
      <w:rFonts w:ascii="Times New Roman" w:hAnsi="Times New Roman" w:cs="Times New Roman"/>
      <w:sz w:val="2"/>
      <w:szCs w:val="2"/>
    </w:rPr>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BodyTextIndentChar1">
    <w:name w:val="Body Text Indent Char1"/>
    <w:qFormat/>
    <w:rPr>
      <w:rFonts w:ascii="Times New Roman" w:hAnsi="Times New Roman" w:cs="Times New Roman"/>
    </w:rPr>
  </w:style>
  <w:style w:type="paragraph" w:customStyle="1" w:styleId="a4">
    <w:name w:val="一级条标题"/>
    <w:basedOn w:val="a3"/>
    <w:next w:val="aa"/>
    <w:qFormat/>
    <w:pPr>
      <w:numPr>
        <w:ilvl w:val="2"/>
      </w:numPr>
      <w:outlineLvl w:val="2"/>
    </w:pPr>
    <w:rPr>
      <w:rFonts w:ascii="Times New Roman"/>
    </w:rPr>
  </w:style>
  <w:style w:type="paragraph" w:customStyle="1" w:styleId="a3">
    <w:name w:val="章标题"/>
    <w:next w:val="aff2"/>
    <w:qFormat/>
    <w:pPr>
      <w:numPr>
        <w:ilvl w:val="1"/>
        <w:numId w:val="1"/>
      </w:numPr>
      <w:spacing w:beforeLines="50" w:before="50" w:afterLines="50" w:after="50"/>
      <w:jc w:val="both"/>
      <w:outlineLvl w:val="1"/>
    </w:pPr>
    <w:rPr>
      <w:rFonts w:ascii="黑体" w:eastAsia="黑体"/>
      <w:sz w:val="21"/>
    </w:rPr>
  </w:style>
  <w:style w:type="paragraph" w:customStyle="1" w:styleId="a5">
    <w:name w:val="二级条标题"/>
    <w:basedOn w:val="a4"/>
    <w:next w:val="aa"/>
    <w:qFormat/>
    <w:pPr>
      <w:numPr>
        <w:ilvl w:val="3"/>
      </w:numPr>
      <w:outlineLvl w:val="3"/>
    </w:pPr>
  </w:style>
  <w:style w:type="paragraph" w:customStyle="1" w:styleId="23">
    <w:name w:val="标题2+编号"/>
    <w:basedOn w:val="aa"/>
    <w:qFormat/>
    <w:pPr>
      <w:tabs>
        <w:tab w:val="left" w:pos="64"/>
      </w:tabs>
      <w:adjustRightInd w:val="0"/>
      <w:spacing w:line="360" w:lineRule="atLeast"/>
      <w:ind w:left="64"/>
      <w:jc w:val="left"/>
      <w:textAlignment w:val="baseline"/>
    </w:pPr>
    <w:rPr>
      <w:b/>
      <w:kern w:val="0"/>
      <w:sz w:val="24"/>
      <w:szCs w:val="20"/>
    </w:rPr>
  </w:style>
  <w:style w:type="paragraph" w:customStyle="1" w:styleId="aff4">
    <w:name w:val="封面标准文稿编辑信息"/>
    <w:qFormat/>
    <w:pPr>
      <w:spacing w:before="180" w:line="180" w:lineRule="exact"/>
      <w:jc w:val="center"/>
    </w:pPr>
    <w:rPr>
      <w:rFonts w:ascii="宋体"/>
      <w:sz w:val="21"/>
    </w:rPr>
  </w:style>
  <w:style w:type="paragraph" w:customStyle="1" w:styleId="a8">
    <w:name w:val="五级条标题"/>
    <w:basedOn w:val="a7"/>
    <w:next w:val="aa"/>
    <w:qFormat/>
    <w:pPr>
      <w:numPr>
        <w:ilvl w:val="6"/>
      </w:numPr>
      <w:outlineLvl w:val="6"/>
    </w:pPr>
  </w:style>
  <w:style w:type="paragraph" w:customStyle="1" w:styleId="a7">
    <w:name w:val="四级条标题"/>
    <w:basedOn w:val="a6"/>
    <w:next w:val="aa"/>
    <w:qFormat/>
    <w:pPr>
      <w:numPr>
        <w:ilvl w:val="5"/>
      </w:numPr>
      <w:outlineLvl w:val="5"/>
    </w:pPr>
  </w:style>
  <w:style w:type="paragraph" w:customStyle="1" w:styleId="a6">
    <w:name w:val="三级条标题"/>
    <w:basedOn w:val="a5"/>
    <w:next w:val="aa"/>
    <w:qFormat/>
    <w:pPr>
      <w:numPr>
        <w:ilvl w:val="4"/>
      </w:numPr>
      <w:outlineLvl w:val="4"/>
    </w:pPr>
  </w:style>
  <w:style w:type="paragraph" w:customStyle="1" w:styleId="a0">
    <w:name w:val="列项●（二级）"/>
    <w:qFormat/>
    <w:pPr>
      <w:numPr>
        <w:ilvl w:val="1"/>
        <w:numId w:val="2"/>
      </w:numPr>
      <w:tabs>
        <w:tab w:val="left" w:pos="840"/>
      </w:tabs>
      <w:jc w:val="both"/>
    </w:pPr>
    <w:rPr>
      <w:rFonts w:ascii="宋体"/>
      <w:sz w:val="21"/>
    </w:rPr>
  </w:style>
  <w:style w:type="paragraph" w:customStyle="1" w:styleId="p15">
    <w:name w:val="p15"/>
    <w:basedOn w:val="aa"/>
    <w:qFormat/>
    <w:pPr>
      <w:widowControl/>
      <w:ind w:firstLine="420"/>
    </w:pPr>
    <w:rPr>
      <w:rFonts w:ascii="宋体" w:hAnsi="宋体" w:cs="宋体"/>
      <w:kern w:val="0"/>
      <w:sz w:val="24"/>
      <w:szCs w:val="24"/>
    </w:rPr>
  </w:style>
  <w:style w:type="paragraph" w:customStyle="1" w:styleId="aff5">
    <w:name w:val="其他发布部门"/>
    <w:basedOn w:val="aa"/>
    <w:qFormat/>
    <w:pPr>
      <w:widowControl/>
      <w:spacing w:line="0" w:lineRule="atLeast"/>
      <w:jc w:val="center"/>
    </w:pPr>
    <w:rPr>
      <w:rFonts w:ascii="黑体" w:eastAsia="黑体"/>
      <w:spacing w:val="20"/>
      <w:w w:val="135"/>
      <w:kern w:val="0"/>
      <w:sz w:val="36"/>
      <w:szCs w:val="20"/>
    </w:rPr>
  </w:style>
  <w:style w:type="paragraph" w:customStyle="1" w:styleId="p17">
    <w:name w:val="p17"/>
    <w:basedOn w:val="aa"/>
    <w:qFormat/>
    <w:pPr>
      <w:widowControl/>
      <w:ind w:firstLine="420"/>
    </w:pPr>
    <w:rPr>
      <w:rFonts w:ascii="宋体" w:hAnsi="宋体" w:cs="宋体"/>
      <w:kern w:val="0"/>
      <w:sz w:val="24"/>
      <w:szCs w:val="24"/>
    </w:rPr>
  </w:style>
  <w:style w:type="paragraph" w:customStyle="1" w:styleId="p16">
    <w:name w:val="p16"/>
    <w:basedOn w:val="aa"/>
    <w:qFormat/>
    <w:pPr>
      <w:widowControl/>
      <w:ind w:firstLine="420"/>
    </w:pPr>
    <w:rPr>
      <w:rFonts w:ascii="宋体" w:hAnsi="宋体" w:cs="宋体"/>
      <w:kern w:val="0"/>
      <w:sz w:val="24"/>
      <w:szCs w:val="24"/>
    </w:rPr>
  </w:style>
  <w:style w:type="paragraph" w:customStyle="1" w:styleId="a">
    <w:name w:val="列项——（一级）"/>
    <w:qFormat/>
    <w:pPr>
      <w:widowControl w:val="0"/>
      <w:numPr>
        <w:numId w:val="2"/>
      </w:numPr>
      <w:jc w:val="both"/>
    </w:pPr>
    <w:rPr>
      <w:rFonts w:ascii="宋体"/>
      <w:sz w:val="21"/>
    </w:rPr>
  </w:style>
  <w:style w:type="paragraph" w:customStyle="1" w:styleId="a9">
    <w:name w:val="注："/>
    <w:next w:val="aff2"/>
    <w:qFormat/>
    <w:pPr>
      <w:widowControl w:val="0"/>
      <w:numPr>
        <w:numId w:val="3"/>
      </w:numPr>
      <w:tabs>
        <w:tab w:val="clear" w:pos="1035"/>
      </w:tabs>
      <w:autoSpaceDE w:val="0"/>
      <w:autoSpaceDN w:val="0"/>
      <w:ind w:left="840"/>
      <w:jc w:val="both"/>
    </w:pPr>
    <w:rPr>
      <w:rFonts w:ascii="宋体"/>
      <w:sz w:val="18"/>
    </w:rPr>
  </w:style>
  <w:style w:type="paragraph" w:customStyle="1" w:styleId="a1">
    <w:name w:val="列项◆（三级）"/>
    <w:basedOn w:val="aa"/>
    <w:qFormat/>
    <w:pPr>
      <w:numPr>
        <w:ilvl w:val="2"/>
        <w:numId w:val="2"/>
      </w:numPr>
    </w:pPr>
    <w:rPr>
      <w:rFonts w:ascii="宋体"/>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0">
    <w:name w:val="列表段落1"/>
    <w:basedOn w:val="aa"/>
    <w:uiPriority w:val="34"/>
    <w:qFormat/>
    <w:pPr>
      <w:spacing w:afterLines="100" w:after="100" w:line="360" w:lineRule="auto"/>
      <w:ind w:leftChars="200" w:left="200" w:firstLineChars="200" w:firstLine="420"/>
    </w:pPr>
    <w:rPr>
      <w:szCs w:val="24"/>
    </w:rPr>
  </w:style>
  <w:style w:type="paragraph" w:customStyle="1" w:styleId="PlainText1">
    <w:name w:val="Plain Text1"/>
    <w:basedOn w:val="aa"/>
    <w:qFormat/>
    <w:pPr>
      <w:adjustRightInd w:val="0"/>
      <w:textAlignment w:val="baseline"/>
    </w:pPr>
    <w:rPr>
      <w:rFonts w:ascii="宋体" w:hAnsi="Courier New"/>
      <w:szCs w:val="20"/>
    </w:rPr>
  </w:style>
  <w:style w:type="paragraph" w:customStyle="1" w:styleId="a2">
    <w:name w:val="前言、引言标题"/>
    <w:next w:val="aa"/>
    <w:qFormat/>
    <w:pPr>
      <w:numPr>
        <w:numId w:val="1"/>
      </w:numPr>
      <w:shd w:val="clear" w:color="FFFFFF" w:fill="FFFFFF"/>
      <w:spacing w:before="640" w:after="560"/>
      <w:jc w:val="center"/>
      <w:outlineLvl w:val="0"/>
    </w:pPr>
    <w:rPr>
      <w:rFonts w:ascii="黑体" w:eastAsia="黑体"/>
      <w:sz w:val="32"/>
    </w:rPr>
  </w:style>
  <w:style w:type="paragraph" w:customStyle="1" w:styleId="ListParagraph11">
    <w:name w:val="List Paragraph11"/>
    <w:basedOn w:val="aa"/>
    <w:qFormat/>
    <w:pPr>
      <w:spacing w:line="400" w:lineRule="exact"/>
      <w:ind w:firstLineChars="200" w:firstLine="420"/>
    </w:pPr>
    <w:rPr>
      <w:rFonts w:ascii="Calibri" w:hAnsi="Calibri"/>
      <w:szCs w:val="22"/>
    </w:rPr>
  </w:style>
  <w:style w:type="paragraph" w:customStyle="1" w:styleId="Pa4">
    <w:name w:val="Pa4"/>
    <w:basedOn w:val="aa"/>
    <w:next w:val="aa"/>
    <w:qFormat/>
    <w:pPr>
      <w:autoSpaceDE w:val="0"/>
      <w:autoSpaceDN w:val="0"/>
      <w:adjustRightInd w:val="0"/>
      <w:spacing w:line="260" w:lineRule="atLeast"/>
      <w:jc w:val="left"/>
    </w:pPr>
    <w:rPr>
      <w:rFonts w:ascii="Siemens Serif" w:eastAsia="Siemens Serif"/>
      <w:kern w:val="0"/>
      <w:sz w:val="24"/>
      <w:szCs w:val="24"/>
    </w:rPr>
  </w:style>
  <w:style w:type="paragraph" w:customStyle="1" w:styleId="aff6">
    <w:name w:val="数字编号列项（二级）"/>
    <w:qFormat/>
    <w:pPr>
      <w:tabs>
        <w:tab w:val="left" w:pos="1260"/>
      </w:tabs>
      <w:ind w:left="1259" w:hanging="419"/>
      <w:jc w:val="both"/>
    </w:pPr>
    <w:rPr>
      <w:rFonts w:ascii="宋体"/>
      <w:sz w:val="21"/>
    </w:rPr>
  </w:style>
  <w:style w:type="paragraph" w:customStyle="1" w:styleId="p0">
    <w:name w:val="p0"/>
    <w:basedOn w:val="aa"/>
    <w:qFormat/>
    <w:pPr>
      <w:widowControl/>
    </w:pPr>
    <w:rPr>
      <w:kern w:val="0"/>
    </w:rPr>
  </w:style>
  <w:style w:type="paragraph" w:customStyle="1" w:styleId="CharCharChar">
    <w:name w:val="Char Char Char"/>
    <w:basedOn w:val="aa"/>
    <w:qFormat/>
    <w:rPr>
      <w:sz w:val="28"/>
      <w:szCs w:val="20"/>
    </w:rPr>
  </w:style>
  <w:style w:type="table" w:customStyle="1" w:styleId="TableNormal1">
    <w:name w:val="Table Normal1"/>
    <w:qFormat/>
    <w:tblPr>
      <w:tblCellMar>
        <w:top w:w="0" w:type="dxa"/>
        <w:left w:w="0" w:type="dxa"/>
        <w:bottom w:w="0" w:type="dxa"/>
        <w:right w:w="0" w:type="dxa"/>
      </w:tblCellMar>
    </w:tblPr>
  </w:style>
  <w:style w:type="paragraph" w:customStyle="1" w:styleId="Other1">
    <w:name w:val="Other|1"/>
    <w:basedOn w:val="aa"/>
    <w:qFormat/>
    <w:pPr>
      <w:ind w:firstLine="180"/>
    </w:pPr>
    <w:rPr>
      <w:sz w:val="20"/>
      <w:szCs w:val="20"/>
    </w:rPr>
  </w:style>
  <w:style w:type="paragraph" w:customStyle="1" w:styleId="ListParagraph1">
    <w:name w:val="List Paragraph1"/>
    <w:basedOn w:val="aa"/>
    <w:uiPriority w:val="99"/>
    <w:qFormat/>
    <w:pPr>
      <w:ind w:left="720"/>
    </w:pPr>
  </w:style>
  <w:style w:type="paragraph" w:customStyle="1" w:styleId="TableParagraph">
    <w:name w:val="Table Paragraph"/>
    <w:basedOn w:val="aa"/>
    <w:uiPriority w:val="1"/>
    <w:qFormat/>
    <w:rPr>
      <w:rFonts w:ascii="宋体" w:hAnsi="宋体" w:cs="宋体"/>
      <w:lang w:val="zh-CN" w:bidi="zh-CN"/>
    </w:rPr>
  </w:style>
  <w:style w:type="paragraph" w:customStyle="1" w:styleId="Style61">
    <w:name w:val="_Style 61"/>
    <w:basedOn w:val="aa"/>
    <w:next w:val="aa"/>
    <w:uiPriority w:val="34"/>
    <w:qFormat/>
    <w:pPr>
      <w:ind w:left="720"/>
    </w:pPr>
  </w:style>
  <w:style w:type="character" w:customStyle="1" w:styleId="font01">
    <w:name w:val="font01"/>
    <w:basedOn w:val="ab"/>
    <w:qFormat/>
    <w:rPr>
      <w:rFonts w:ascii="宋体" w:eastAsia="宋体" w:hAnsi="宋体" w:cs="宋体" w:hint="eastAsia"/>
      <w:color w:val="000000"/>
      <w:sz w:val="22"/>
      <w:szCs w:val="22"/>
      <w:u w:val="none"/>
    </w:rPr>
  </w:style>
  <w:style w:type="character" w:customStyle="1" w:styleId="font61">
    <w:name w:val="font61"/>
    <w:basedOn w:val="ab"/>
    <w:qFormat/>
    <w:rPr>
      <w:rFonts w:ascii="宋体" w:eastAsia="宋体" w:hAnsi="宋体" w:cs="宋体" w:hint="eastAsia"/>
      <w:color w:val="FF0000"/>
      <w:sz w:val="22"/>
      <w:szCs w:val="22"/>
      <w:u w:val="none"/>
    </w:rPr>
  </w:style>
  <w:style w:type="character" w:customStyle="1" w:styleId="font41">
    <w:name w:val="font41"/>
    <w:basedOn w:val="ab"/>
    <w:qFormat/>
    <w:rPr>
      <w:rFonts w:ascii="Arial" w:hAnsi="Arial" w:cs="Arial" w:hint="default"/>
      <w:color w:val="FF0000"/>
      <w:sz w:val="22"/>
      <w:szCs w:val="22"/>
      <w:u w:val="none"/>
    </w:rPr>
  </w:style>
  <w:style w:type="character" w:customStyle="1" w:styleId="font31">
    <w:name w:val="font31"/>
    <w:basedOn w:val="ab"/>
    <w:qFormat/>
    <w:rPr>
      <w:rFonts w:ascii="Arial" w:hAnsi="Arial" w:cs="Arial" w:hint="default"/>
      <w:color w:val="000000"/>
      <w:sz w:val="22"/>
      <w:szCs w:val="22"/>
      <w:u w:val="none"/>
    </w:rPr>
  </w:style>
  <w:style w:type="character" w:customStyle="1" w:styleId="font51">
    <w:name w:val="font51"/>
    <w:basedOn w:val="ab"/>
    <w:qFormat/>
    <w:rPr>
      <w:rFonts w:ascii="Arial" w:hAnsi="Arial" w:cs="Arial" w:hint="default"/>
      <w:strike/>
      <w:color w:val="FF0000"/>
      <w:sz w:val="22"/>
      <w:szCs w:val="22"/>
    </w:rPr>
  </w:style>
  <w:style w:type="character" w:customStyle="1" w:styleId="font11">
    <w:name w:val="font11"/>
    <w:basedOn w:val="ab"/>
    <w:qFormat/>
    <w:rPr>
      <w:rFonts w:ascii="宋体" w:eastAsia="宋体" w:hAnsi="宋体" w:cs="宋体" w:hint="eastAsia"/>
      <w:color w:val="000000"/>
      <w:sz w:val="22"/>
      <w:szCs w:val="22"/>
      <w:u w:val="none"/>
    </w:rPr>
  </w:style>
  <w:style w:type="paragraph" w:styleId="aff7">
    <w:name w:val="List Paragraph"/>
    <w:basedOn w:val="aa"/>
    <w:uiPriority w:val="34"/>
    <w:qFormat/>
    <w:pPr>
      <w:adjustRightInd w:val="0"/>
      <w:spacing w:line="312" w:lineRule="atLeast"/>
      <w:ind w:firstLineChars="200" w:firstLine="420"/>
      <w:textAlignment w:val="baseline"/>
    </w:pPr>
    <w:rPr>
      <w:kern w:val="0"/>
      <w:szCs w:val="20"/>
    </w:rPr>
  </w:style>
  <w:style w:type="paragraph" w:customStyle="1" w:styleId="Bodytext1">
    <w:name w:val="Body text|1"/>
    <w:basedOn w:val="aa"/>
    <w:qFormat/>
    <w:pPr>
      <w:spacing w:line="350" w:lineRule="auto"/>
      <w:jc w:val="left"/>
    </w:pPr>
    <w:rPr>
      <w:rFonts w:ascii="宋体" w:hAnsi="宋体" w:cs="宋体"/>
      <w:sz w:val="22"/>
      <w:szCs w:val="2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0" w:defUnhideWhenUsed="0" w:defQFormat="0" w:count="267">
    <w:lsdException w:name="Normal" w:locked="0"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iPriority="0" w:qFormat="1"/>
    <w:lsdException w:name="header" w:locked="0" w:uiPriority="0" w:qFormat="1"/>
    <w:lsdException w:name="footer" w:locked="0" w:semiHidden="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locked="0" w:semiHidden="1" w:qFormat="1"/>
    <w:lsdException w:name="line number" w:semiHidden="1" w:unhideWhenUsed="1"/>
    <w:lsdException w:name="page number" w:locked="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locked="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locked="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0" w:qFormat="1"/>
    <w:lsdException w:name="E-mail Signature" w:semiHidden="1" w:unhideWhenUsed="1"/>
    <w:lsdException w:name="HTML Top of Form" w:locked="0" w:semiHidden="1" w:unhideWhenUsed="1"/>
    <w:lsdException w:name="HTML Bottom of Form" w:locked="0"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locked="0" w:unhideWhenUsed="1" w:qFormat="1"/>
    <w:lsdException w:name="annotation subject" w:semiHidden="1" w:uiPriority="0" w:qFormat="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qFormat="1"/>
    <w:lsdException w:name="Table Grid" w:uiPriority="0" w:qFormat="1"/>
    <w:lsdException w:name="Table Theme" w:semiHidden="1" w:unhideWhenUsed="1"/>
    <w:lsdException w:name="Placeholder Text" w:locked="0" w:semiHidden="1" w:unhideWhenUsed="1"/>
    <w:lsdException w:name="No Spacing" w:locked="0" w:semiHidden="1" w:unhideWhenUsed="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nhideWhenUsed="1"/>
    <w:lsdException w:name="List Paragraph" w:locked="0" w:uiPriority="34" w:qFormat="1"/>
    <w:lsdException w:name="Quote" w:locked="0" w:semiHidden="1" w:unhideWhenUsed="1"/>
    <w:lsdException w:name="Intense Quote" w:locked="0" w:semiHidden="1" w:unhideWhenUsed="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a">
    <w:name w:val="Normal"/>
    <w:qFormat/>
    <w:pPr>
      <w:widowControl w:val="0"/>
      <w:jc w:val="both"/>
    </w:pPr>
    <w:rPr>
      <w:kern w:val="2"/>
      <w:sz w:val="21"/>
      <w:szCs w:val="21"/>
    </w:rPr>
  </w:style>
  <w:style w:type="paragraph" w:styleId="2">
    <w:name w:val="heading 2"/>
    <w:basedOn w:val="aa"/>
    <w:next w:val="aa"/>
    <w:qFormat/>
    <w:locked/>
    <w:pPr>
      <w:spacing w:line="360" w:lineRule="auto"/>
      <w:outlineLvl w:val="1"/>
    </w:pPr>
    <w:rPr>
      <w:b/>
    </w:rPr>
  </w:style>
  <w:style w:type="paragraph" w:styleId="3">
    <w:name w:val="heading 3"/>
    <w:basedOn w:val="aa"/>
    <w:next w:val="aa"/>
    <w:qFormat/>
    <w:locked/>
    <w:pPr>
      <w:outlineLvl w:val="2"/>
    </w:pPr>
  </w:style>
  <w:style w:type="paragraph" w:styleId="4">
    <w:name w:val="heading 4"/>
    <w:basedOn w:val="3"/>
    <w:next w:val="aa"/>
    <w:qFormat/>
    <w:locked/>
    <w:pPr>
      <w:outlineLvl w:val="3"/>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Normal Indent"/>
    <w:basedOn w:val="aa"/>
    <w:qFormat/>
    <w:locked/>
    <w:pPr>
      <w:ind w:firstLine="420"/>
    </w:pPr>
    <w:rPr>
      <w:rFonts w:ascii="宋体"/>
      <w:szCs w:val="20"/>
    </w:rPr>
  </w:style>
  <w:style w:type="paragraph" w:styleId="af">
    <w:name w:val="caption"/>
    <w:basedOn w:val="aa"/>
    <w:next w:val="aa"/>
    <w:qFormat/>
    <w:locked/>
    <w:pPr>
      <w:adjustRightInd w:val="0"/>
      <w:spacing w:before="152" w:after="160" w:line="312" w:lineRule="atLeast"/>
      <w:textAlignment w:val="baseline"/>
    </w:pPr>
    <w:rPr>
      <w:rFonts w:ascii="Arial" w:eastAsia="黑体" w:hAnsi="Arial"/>
      <w:kern w:val="0"/>
      <w:szCs w:val="20"/>
    </w:rPr>
  </w:style>
  <w:style w:type="paragraph" w:styleId="af0">
    <w:name w:val="annotation text"/>
    <w:basedOn w:val="aa"/>
    <w:semiHidden/>
    <w:qFormat/>
    <w:locked/>
    <w:pPr>
      <w:jc w:val="left"/>
    </w:pPr>
  </w:style>
  <w:style w:type="paragraph" w:styleId="30">
    <w:name w:val="Body Text 3"/>
    <w:basedOn w:val="aa"/>
    <w:link w:val="3Char"/>
    <w:uiPriority w:val="99"/>
    <w:qFormat/>
    <w:pPr>
      <w:adjustRightInd w:val="0"/>
      <w:spacing w:before="40" w:after="40" w:line="20" w:lineRule="atLeast"/>
      <w:jc w:val="left"/>
      <w:textAlignment w:val="baseline"/>
    </w:pPr>
    <w:rPr>
      <w:kern w:val="0"/>
    </w:rPr>
  </w:style>
  <w:style w:type="paragraph" w:styleId="af1">
    <w:name w:val="Body Text"/>
    <w:basedOn w:val="aa"/>
    <w:qFormat/>
    <w:locked/>
    <w:pPr>
      <w:spacing w:after="120"/>
    </w:pPr>
  </w:style>
  <w:style w:type="paragraph" w:styleId="af2">
    <w:name w:val="Body Text Indent"/>
    <w:basedOn w:val="aa"/>
    <w:qFormat/>
    <w:locked/>
    <w:pPr>
      <w:spacing w:after="120"/>
      <w:ind w:leftChars="200" w:left="420"/>
    </w:pPr>
    <w:rPr>
      <w:rFonts w:ascii="Calibri" w:hAnsi="Calibri"/>
      <w:szCs w:val="20"/>
    </w:rPr>
  </w:style>
  <w:style w:type="paragraph" w:styleId="af3">
    <w:name w:val="Block Text"/>
    <w:basedOn w:val="aa"/>
    <w:qFormat/>
    <w:locked/>
    <w:pPr>
      <w:suppressAutoHyphens/>
      <w:spacing w:beforeLines="30" w:before="93" w:line="260" w:lineRule="exact"/>
      <w:ind w:left="-57" w:right="-57"/>
      <w:jc w:val="center"/>
    </w:pPr>
    <w:rPr>
      <w:color w:val="0000FF"/>
      <w:sz w:val="20"/>
      <w:szCs w:val="20"/>
    </w:rPr>
  </w:style>
  <w:style w:type="paragraph" w:styleId="af4">
    <w:name w:val="Plain Text"/>
    <w:basedOn w:val="aa"/>
    <w:link w:val="Char"/>
    <w:uiPriority w:val="99"/>
    <w:qFormat/>
    <w:rPr>
      <w:rFonts w:ascii="宋体" w:hAnsi="Courier New" w:cs="宋体"/>
    </w:rPr>
  </w:style>
  <w:style w:type="paragraph" w:styleId="af5">
    <w:name w:val="Date"/>
    <w:basedOn w:val="aa"/>
    <w:next w:val="aa"/>
    <w:link w:val="Char0"/>
    <w:uiPriority w:val="99"/>
    <w:qFormat/>
    <w:rPr>
      <w:rFonts w:ascii="宋体" w:hAnsi="Courier New"/>
    </w:rPr>
  </w:style>
  <w:style w:type="paragraph" w:styleId="20">
    <w:name w:val="Body Text Indent 2"/>
    <w:basedOn w:val="aa"/>
    <w:link w:val="2Char"/>
    <w:qFormat/>
    <w:locked/>
    <w:pPr>
      <w:spacing w:after="120" w:line="480" w:lineRule="auto"/>
      <w:ind w:leftChars="200" w:left="420"/>
    </w:pPr>
  </w:style>
  <w:style w:type="paragraph" w:styleId="af6">
    <w:name w:val="Balloon Text"/>
    <w:basedOn w:val="aa"/>
    <w:link w:val="Char1"/>
    <w:uiPriority w:val="99"/>
    <w:semiHidden/>
    <w:qFormat/>
    <w:rPr>
      <w:sz w:val="18"/>
      <w:szCs w:val="18"/>
    </w:rPr>
  </w:style>
  <w:style w:type="paragraph" w:styleId="af7">
    <w:name w:val="footer"/>
    <w:basedOn w:val="aa"/>
    <w:link w:val="Char2"/>
    <w:uiPriority w:val="99"/>
    <w:semiHidden/>
    <w:qFormat/>
    <w:pPr>
      <w:tabs>
        <w:tab w:val="center" w:pos="4153"/>
        <w:tab w:val="right" w:pos="8306"/>
      </w:tabs>
      <w:snapToGrid w:val="0"/>
      <w:jc w:val="left"/>
    </w:pPr>
    <w:rPr>
      <w:sz w:val="18"/>
      <w:szCs w:val="18"/>
    </w:rPr>
  </w:style>
  <w:style w:type="paragraph" w:styleId="af8">
    <w:name w:val="header"/>
    <w:basedOn w:val="aa"/>
    <w:link w:val="Char3"/>
    <w:qFormat/>
    <w:pPr>
      <w:pBdr>
        <w:bottom w:val="single" w:sz="6" w:space="1" w:color="auto"/>
      </w:pBdr>
      <w:tabs>
        <w:tab w:val="center" w:pos="4153"/>
        <w:tab w:val="right" w:pos="8306"/>
      </w:tabs>
      <w:snapToGrid w:val="0"/>
      <w:jc w:val="center"/>
    </w:pPr>
    <w:rPr>
      <w:sz w:val="18"/>
      <w:szCs w:val="18"/>
    </w:rPr>
  </w:style>
  <w:style w:type="paragraph" w:styleId="1">
    <w:name w:val="toc 1"/>
    <w:basedOn w:val="aa"/>
    <w:next w:val="aa"/>
    <w:semiHidden/>
    <w:qFormat/>
    <w:locked/>
  </w:style>
  <w:style w:type="paragraph" w:styleId="af9">
    <w:name w:val="Subtitle"/>
    <w:basedOn w:val="aa"/>
    <w:next w:val="aa"/>
    <w:qFormat/>
    <w:locked/>
    <w:pPr>
      <w:spacing w:before="240" w:after="60" w:line="312" w:lineRule="auto"/>
      <w:jc w:val="left"/>
      <w:outlineLvl w:val="1"/>
    </w:pPr>
    <w:rPr>
      <w:rFonts w:ascii="Cambria" w:eastAsia="黑体" w:hAnsi="Cambria"/>
      <w:bCs/>
      <w:kern w:val="28"/>
      <w:szCs w:val="32"/>
    </w:rPr>
  </w:style>
  <w:style w:type="paragraph" w:styleId="afa">
    <w:name w:val="footnote text"/>
    <w:basedOn w:val="aa"/>
    <w:qFormat/>
    <w:locked/>
    <w:pPr>
      <w:adjustRightInd w:val="0"/>
      <w:snapToGrid w:val="0"/>
      <w:spacing w:line="312" w:lineRule="atLeast"/>
      <w:jc w:val="left"/>
      <w:textAlignment w:val="baseline"/>
    </w:pPr>
    <w:rPr>
      <w:sz w:val="18"/>
      <w:szCs w:val="18"/>
    </w:rPr>
  </w:style>
  <w:style w:type="paragraph" w:styleId="31">
    <w:name w:val="Body Text Indent 3"/>
    <w:basedOn w:val="aa"/>
    <w:link w:val="3Char0"/>
    <w:qFormat/>
    <w:locked/>
    <w:pPr>
      <w:spacing w:before="50" w:line="420" w:lineRule="exact"/>
      <w:ind w:firstLineChars="200" w:firstLine="471"/>
    </w:pPr>
    <w:rPr>
      <w:rFonts w:eastAsia="Times New Roman"/>
      <w:kern w:val="0"/>
      <w:sz w:val="16"/>
      <w:szCs w:val="16"/>
    </w:rPr>
  </w:style>
  <w:style w:type="paragraph" w:styleId="afb">
    <w:name w:val="table of figures"/>
    <w:basedOn w:val="aa"/>
    <w:next w:val="aa"/>
    <w:qFormat/>
    <w:locked/>
    <w:rPr>
      <w:szCs w:val="20"/>
    </w:rPr>
  </w:style>
  <w:style w:type="paragraph" w:styleId="21">
    <w:name w:val="toc 2"/>
    <w:basedOn w:val="1"/>
    <w:next w:val="aa"/>
    <w:qFormat/>
    <w:locked/>
    <w:pPr>
      <w:widowControl/>
    </w:pPr>
    <w:rPr>
      <w:rFonts w:ascii="宋体"/>
      <w:kern w:val="0"/>
      <w:szCs w:val="20"/>
    </w:rPr>
  </w:style>
  <w:style w:type="paragraph" w:styleId="22">
    <w:name w:val="Body Text 2"/>
    <w:basedOn w:val="aa"/>
    <w:link w:val="2Char0"/>
    <w:qFormat/>
    <w:locked/>
    <w:rPr>
      <w:rFonts w:ascii="宋体"/>
      <w:sz w:val="24"/>
      <w:szCs w:val="24"/>
    </w:rPr>
  </w:style>
  <w:style w:type="paragraph" w:styleId="HTML">
    <w:name w:val="HTML Preformatted"/>
    <w:basedOn w:val="aa"/>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afc">
    <w:name w:val="Normal (Web)"/>
    <w:basedOn w:val="aa"/>
    <w:qFormat/>
    <w:locked/>
    <w:pPr>
      <w:widowControl/>
      <w:spacing w:before="100" w:beforeAutospacing="1" w:after="100" w:afterAutospacing="1" w:line="408" w:lineRule="auto"/>
      <w:jc w:val="left"/>
    </w:pPr>
    <w:rPr>
      <w:kern w:val="0"/>
      <w:sz w:val="18"/>
      <w:szCs w:val="18"/>
    </w:rPr>
  </w:style>
  <w:style w:type="paragraph" w:styleId="afd">
    <w:name w:val="annotation subject"/>
    <w:basedOn w:val="af0"/>
    <w:next w:val="af0"/>
    <w:semiHidden/>
    <w:qFormat/>
    <w:locked/>
    <w:rPr>
      <w:b/>
      <w:bCs/>
    </w:rPr>
  </w:style>
  <w:style w:type="table" w:styleId="afe">
    <w:name w:val="Table Grid"/>
    <w:basedOn w:val="ac"/>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b"/>
    <w:uiPriority w:val="99"/>
    <w:qFormat/>
  </w:style>
  <w:style w:type="character" w:styleId="aff0">
    <w:name w:val="Hyperlink"/>
    <w:basedOn w:val="ab"/>
    <w:uiPriority w:val="99"/>
    <w:unhideWhenUsed/>
    <w:qFormat/>
    <w:locked/>
    <w:rPr>
      <w:color w:val="0000FF"/>
      <w:u w:val="single"/>
    </w:rPr>
  </w:style>
  <w:style w:type="character" w:styleId="aff1">
    <w:name w:val="annotation reference"/>
    <w:uiPriority w:val="99"/>
    <w:semiHidden/>
    <w:qFormat/>
    <w:rPr>
      <w:sz w:val="21"/>
      <w:szCs w:val="21"/>
    </w:rPr>
  </w:style>
  <w:style w:type="character" w:customStyle="1" w:styleId="3Char">
    <w:name w:val="正文文本 3 Char"/>
    <w:link w:val="30"/>
    <w:uiPriority w:val="99"/>
    <w:semiHidden/>
    <w:qFormat/>
    <w:locked/>
    <w:rPr>
      <w:rFonts w:ascii="Times New Roman" w:hAnsi="Times New Roman" w:cs="Times New Roman"/>
      <w:sz w:val="16"/>
      <w:szCs w:val="16"/>
    </w:rPr>
  </w:style>
  <w:style w:type="character" w:customStyle="1" w:styleId="Char">
    <w:name w:val="纯文本 Char"/>
    <w:link w:val="af4"/>
    <w:uiPriority w:val="99"/>
    <w:qFormat/>
    <w:locked/>
    <w:rPr>
      <w:rFonts w:ascii="宋体" w:hAnsi="Courier New" w:cs="宋体"/>
      <w:sz w:val="21"/>
      <w:szCs w:val="21"/>
    </w:rPr>
  </w:style>
  <w:style w:type="character" w:customStyle="1" w:styleId="Char0">
    <w:name w:val="日期 Char"/>
    <w:link w:val="af5"/>
    <w:uiPriority w:val="99"/>
    <w:semiHidden/>
    <w:qFormat/>
    <w:locked/>
    <w:rPr>
      <w:rFonts w:ascii="宋体" w:hAnsi="Courier New" w:cs="宋体"/>
      <w:kern w:val="2"/>
      <w:sz w:val="21"/>
      <w:szCs w:val="21"/>
    </w:rPr>
  </w:style>
  <w:style w:type="character" w:customStyle="1" w:styleId="2Char">
    <w:name w:val="正文文本缩进 2 Char"/>
    <w:link w:val="20"/>
    <w:qFormat/>
    <w:rPr>
      <w:rFonts w:eastAsia="宋体"/>
      <w:kern w:val="2"/>
      <w:sz w:val="21"/>
      <w:szCs w:val="21"/>
      <w:lang w:val="en-US" w:eastAsia="zh-CN" w:bidi="ar-SA"/>
    </w:rPr>
  </w:style>
  <w:style w:type="character" w:customStyle="1" w:styleId="Char1">
    <w:name w:val="批注框文本 Char"/>
    <w:link w:val="af6"/>
    <w:uiPriority w:val="99"/>
    <w:semiHidden/>
    <w:qFormat/>
    <w:locked/>
    <w:rPr>
      <w:rFonts w:ascii="Times New Roman" w:hAnsi="Times New Roman" w:cs="Times New Roman"/>
      <w:sz w:val="2"/>
      <w:szCs w:val="2"/>
    </w:rPr>
  </w:style>
  <w:style w:type="character" w:customStyle="1" w:styleId="Char2">
    <w:name w:val="页脚 Char"/>
    <w:link w:val="af7"/>
    <w:uiPriority w:val="99"/>
    <w:semiHidden/>
    <w:qFormat/>
    <w:locked/>
    <w:rPr>
      <w:rFonts w:ascii="Times New Roman" w:hAnsi="Times New Roman" w:cs="Times New Roman"/>
      <w:sz w:val="18"/>
      <w:szCs w:val="18"/>
    </w:rPr>
  </w:style>
  <w:style w:type="character" w:customStyle="1" w:styleId="Char3">
    <w:name w:val="页眉 Char"/>
    <w:link w:val="af8"/>
    <w:uiPriority w:val="99"/>
    <w:semiHidden/>
    <w:qFormat/>
    <w:locked/>
    <w:rPr>
      <w:rFonts w:ascii="Times New Roman" w:hAnsi="Times New Roman" w:cs="Times New Roman"/>
      <w:sz w:val="18"/>
      <w:szCs w:val="18"/>
    </w:rPr>
  </w:style>
  <w:style w:type="character" w:customStyle="1" w:styleId="3Char0">
    <w:name w:val="正文文本缩进 3 Char"/>
    <w:link w:val="31"/>
    <w:qFormat/>
    <w:rPr>
      <w:sz w:val="16"/>
      <w:szCs w:val="16"/>
      <w:lang w:bidi="ar-SA"/>
    </w:rPr>
  </w:style>
  <w:style w:type="character" w:customStyle="1" w:styleId="2Char0">
    <w:name w:val="正文文本 2 Char"/>
    <w:link w:val="22"/>
    <w:qFormat/>
    <w:locked/>
    <w:rPr>
      <w:rFonts w:ascii="宋体" w:eastAsia="宋体"/>
      <w:kern w:val="2"/>
      <w:sz w:val="24"/>
      <w:szCs w:val="24"/>
      <w:lang w:val="en-US" w:eastAsia="zh-CN" w:bidi="ar-SA"/>
    </w:rPr>
  </w:style>
  <w:style w:type="character" w:customStyle="1" w:styleId="CharChar2">
    <w:name w:val="書式なし Char Char2"/>
    <w:qFormat/>
    <w:rPr>
      <w:rFonts w:ascii="宋体" w:hAnsi="Courier New" w:cs="宋体"/>
      <w:sz w:val="21"/>
      <w:szCs w:val="21"/>
    </w:rPr>
  </w:style>
  <w:style w:type="character" w:customStyle="1" w:styleId="DateChar1">
    <w:name w:val="Date Char1"/>
    <w:qFormat/>
    <w:rPr>
      <w:rFonts w:ascii="宋体" w:hAnsi="Courier New"/>
      <w:kern w:val="2"/>
      <w:sz w:val="21"/>
    </w:rPr>
  </w:style>
  <w:style w:type="character" w:customStyle="1" w:styleId="Char4">
    <w:name w:val="段 Char"/>
    <w:link w:val="aff2"/>
    <w:qFormat/>
    <w:locked/>
    <w:rPr>
      <w:rFonts w:ascii="宋体" w:eastAsia="宋体"/>
      <w:sz w:val="21"/>
      <w:lang w:val="en-US" w:eastAsia="zh-CN" w:bidi="ar-SA"/>
    </w:rPr>
  </w:style>
  <w:style w:type="paragraph" w:customStyle="1" w:styleId="aff2">
    <w:name w:val="段"/>
    <w:link w:val="Char4"/>
    <w:qFormat/>
    <w:pPr>
      <w:autoSpaceDE w:val="0"/>
      <w:autoSpaceDN w:val="0"/>
      <w:ind w:firstLineChars="200" w:firstLine="200"/>
      <w:jc w:val="both"/>
    </w:pPr>
    <w:rPr>
      <w:rFonts w:ascii="宋体"/>
      <w:sz w:val="21"/>
    </w:rPr>
  </w:style>
  <w:style w:type="character" w:customStyle="1" w:styleId="BodyTextChar1">
    <w:name w:val="Body Text Char1"/>
    <w:qFormat/>
    <w:rPr>
      <w:rFonts w:ascii="Times New Roman" w:hAnsi="Times New Roman" w:cs="Times New Roman"/>
    </w:rPr>
  </w:style>
  <w:style w:type="character" w:customStyle="1" w:styleId="BodyTextIndentChar">
    <w:name w:val="Body Text Indent Char"/>
    <w:qFormat/>
    <w:locked/>
    <w:rPr>
      <w:rFonts w:eastAsia="宋体"/>
      <w:kern w:val="2"/>
      <w:sz w:val="21"/>
      <w:lang w:val="en-US" w:eastAsia="zh-CN"/>
    </w:rPr>
  </w:style>
  <w:style w:type="character" w:customStyle="1" w:styleId="Char5">
    <w:name w:val="字母编号列项（一级） Char"/>
    <w:link w:val="aff3"/>
    <w:qFormat/>
    <w:rPr>
      <w:rFonts w:ascii="宋体" w:eastAsia="宋体"/>
      <w:sz w:val="21"/>
      <w:lang w:val="en-US" w:eastAsia="zh-CN" w:bidi="ar-SA"/>
    </w:rPr>
  </w:style>
  <w:style w:type="paragraph" w:customStyle="1" w:styleId="aff3">
    <w:name w:val="字母编号列项（一级）"/>
    <w:link w:val="Char5"/>
    <w:qFormat/>
    <w:pPr>
      <w:ind w:leftChars="200" w:left="840" w:hangingChars="200" w:hanging="420"/>
      <w:jc w:val="both"/>
    </w:pPr>
    <w:rPr>
      <w:rFonts w:ascii="宋体"/>
      <w:sz w:val="21"/>
    </w:rPr>
  </w:style>
  <w:style w:type="character" w:customStyle="1" w:styleId="HeaderChar">
    <w:name w:val="Header Char"/>
    <w:qFormat/>
    <w:rPr>
      <w:rFonts w:ascii="Times New Roman" w:hAnsi="Times New Roman" w:cs="Times New Roman"/>
      <w:sz w:val="18"/>
      <w:szCs w:val="18"/>
    </w:rPr>
  </w:style>
  <w:style w:type="character" w:customStyle="1" w:styleId="BodyTextChar">
    <w:name w:val="Body Text Char"/>
    <w:qFormat/>
    <w:locked/>
    <w:rPr>
      <w:rFonts w:eastAsia="宋体"/>
      <w:kern w:val="2"/>
      <w:sz w:val="21"/>
      <w:lang w:val="en-US" w:eastAsia="zh-CN"/>
    </w:rPr>
  </w:style>
  <w:style w:type="character" w:customStyle="1" w:styleId="CharChar">
    <w:name w:val="書式なし Char Char"/>
    <w:qFormat/>
    <w:locked/>
    <w:rPr>
      <w:rFonts w:ascii="宋体" w:hAnsi="Courier New"/>
      <w:kern w:val="2"/>
      <w:sz w:val="21"/>
    </w:rPr>
  </w:style>
  <w:style w:type="character" w:customStyle="1" w:styleId="PlainTextChar">
    <w:name w:val="Plain Text Char"/>
    <w:qFormat/>
    <w:rPr>
      <w:rFonts w:ascii="宋体" w:eastAsia="宋体" w:hAnsi="Courier New"/>
      <w:kern w:val="2"/>
      <w:sz w:val="21"/>
      <w:lang w:val="en-US" w:eastAsia="zh-CN"/>
    </w:rPr>
  </w:style>
  <w:style w:type="character" w:customStyle="1" w:styleId="CharChar0">
    <w:name w:val="批注框文本 Char Char"/>
    <w:qFormat/>
    <w:rPr>
      <w:rFonts w:ascii="Times New Roman" w:hAnsi="Times New Roman" w:cs="Times New Roman"/>
      <w:sz w:val="2"/>
      <w:szCs w:val="2"/>
    </w:rPr>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BodyTextIndentChar1">
    <w:name w:val="Body Text Indent Char1"/>
    <w:qFormat/>
    <w:rPr>
      <w:rFonts w:ascii="Times New Roman" w:hAnsi="Times New Roman" w:cs="Times New Roman"/>
    </w:rPr>
  </w:style>
  <w:style w:type="paragraph" w:customStyle="1" w:styleId="a4">
    <w:name w:val="一级条标题"/>
    <w:basedOn w:val="a3"/>
    <w:next w:val="aa"/>
    <w:qFormat/>
    <w:pPr>
      <w:numPr>
        <w:ilvl w:val="2"/>
      </w:numPr>
      <w:outlineLvl w:val="2"/>
    </w:pPr>
    <w:rPr>
      <w:rFonts w:ascii="Times New Roman"/>
    </w:rPr>
  </w:style>
  <w:style w:type="paragraph" w:customStyle="1" w:styleId="a3">
    <w:name w:val="章标题"/>
    <w:next w:val="aff2"/>
    <w:qFormat/>
    <w:pPr>
      <w:numPr>
        <w:ilvl w:val="1"/>
        <w:numId w:val="1"/>
      </w:numPr>
      <w:spacing w:beforeLines="50" w:before="50" w:afterLines="50" w:after="50"/>
      <w:jc w:val="both"/>
      <w:outlineLvl w:val="1"/>
    </w:pPr>
    <w:rPr>
      <w:rFonts w:ascii="黑体" w:eastAsia="黑体"/>
      <w:sz w:val="21"/>
    </w:rPr>
  </w:style>
  <w:style w:type="paragraph" w:customStyle="1" w:styleId="a5">
    <w:name w:val="二级条标题"/>
    <w:basedOn w:val="a4"/>
    <w:next w:val="aa"/>
    <w:qFormat/>
    <w:pPr>
      <w:numPr>
        <w:ilvl w:val="3"/>
      </w:numPr>
      <w:outlineLvl w:val="3"/>
    </w:pPr>
  </w:style>
  <w:style w:type="paragraph" w:customStyle="1" w:styleId="23">
    <w:name w:val="标题2+编号"/>
    <w:basedOn w:val="aa"/>
    <w:qFormat/>
    <w:pPr>
      <w:tabs>
        <w:tab w:val="left" w:pos="64"/>
      </w:tabs>
      <w:adjustRightInd w:val="0"/>
      <w:spacing w:line="360" w:lineRule="atLeast"/>
      <w:ind w:left="64"/>
      <w:jc w:val="left"/>
      <w:textAlignment w:val="baseline"/>
    </w:pPr>
    <w:rPr>
      <w:b/>
      <w:kern w:val="0"/>
      <w:sz w:val="24"/>
      <w:szCs w:val="20"/>
    </w:rPr>
  </w:style>
  <w:style w:type="paragraph" w:customStyle="1" w:styleId="aff4">
    <w:name w:val="封面标准文稿编辑信息"/>
    <w:qFormat/>
    <w:pPr>
      <w:spacing w:before="180" w:line="180" w:lineRule="exact"/>
      <w:jc w:val="center"/>
    </w:pPr>
    <w:rPr>
      <w:rFonts w:ascii="宋体"/>
      <w:sz w:val="21"/>
    </w:rPr>
  </w:style>
  <w:style w:type="paragraph" w:customStyle="1" w:styleId="a8">
    <w:name w:val="五级条标题"/>
    <w:basedOn w:val="a7"/>
    <w:next w:val="aa"/>
    <w:qFormat/>
    <w:pPr>
      <w:numPr>
        <w:ilvl w:val="6"/>
      </w:numPr>
      <w:outlineLvl w:val="6"/>
    </w:pPr>
  </w:style>
  <w:style w:type="paragraph" w:customStyle="1" w:styleId="a7">
    <w:name w:val="四级条标题"/>
    <w:basedOn w:val="a6"/>
    <w:next w:val="aa"/>
    <w:qFormat/>
    <w:pPr>
      <w:numPr>
        <w:ilvl w:val="5"/>
      </w:numPr>
      <w:outlineLvl w:val="5"/>
    </w:pPr>
  </w:style>
  <w:style w:type="paragraph" w:customStyle="1" w:styleId="a6">
    <w:name w:val="三级条标题"/>
    <w:basedOn w:val="a5"/>
    <w:next w:val="aa"/>
    <w:qFormat/>
    <w:pPr>
      <w:numPr>
        <w:ilvl w:val="4"/>
      </w:numPr>
      <w:outlineLvl w:val="4"/>
    </w:pPr>
  </w:style>
  <w:style w:type="paragraph" w:customStyle="1" w:styleId="a0">
    <w:name w:val="列项●（二级）"/>
    <w:qFormat/>
    <w:pPr>
      <w:numPr>
        <w:ilvl w:val="1"/>
        <w:numId w:val="2"/>
      </w:numPr>
      <w:tabs>
        <w:tab w:val="left" w:pos="840"/>
      </w:tabs>
      <w:jc w:val="both"/>
    </w:pPr>
    <w:rPr>
      <w:rFonts w:ascii="宋体"/>
      <w:sz w:val="21"/>
    </w:rPr>
  </w:style>
  <w:style w:type="paragraph" w:customStyle="1" w:styleId="p15">
    <w:name w:val="p15"/>
    <w:basedOn w:val="aa"/>
    <w:qFormat/>
    <w:pPr>
      <w:widowControl/>
      <w:ind w:firstLine="420"/>
    </w:pPr>
    <w:rPr>
      <w:rFonts w:ascii="宋体" w:hAnsi="宋体" w:cs="宋体"/>
      <w:kern w:val="0"/>
      <w:sz w:val="24"/>
      <w:szCs w:val="24"/>
    </w:rPr>
  </w:style>
  <w:style w:type="paragraph" w:customStyle="1" w:styleId="aff5">
    <w:name w:val="其他发布部门"/>
    <w:basedOn w:val="aa"/>
    <w:qFormat/>
    <w:pPr>
      <w:widowControl/>
      <w:spacing w:line="0" w:lineRule="atLeast"/>
      <w:jc w:val="center"/>
    </w:pPr>
    <w:rPr>
      <w:rFonts w:ascii="黑体" w:eastAsia="黑体"/>
      <w:spacing w:val="20"/>
      <w:w w:val="135"/>
      <w:kern w:val="0"/>
      <w:sz w:val="36"/>
      <w:szCs w:val="20"/>
    </w:rPr>
  </w:style>
  <w:style w:type="paragraph" w:customStyle="1" w:styleId="p17">
    <w:name w:val="p17"/>
    <w:basedOn w:val="aa"/>
    <w:qFormat/>
    <w:pPr>
      <w:widowControl/>
      <w:ind w:firstLine="420"/>
    </w:pPr>
    <w:rPr>
      <w:rFonts w:ascii="宋体" w:hAnsi="宋体" w:cs="宋体"/>
      <w:kern w:val="0"/>
      <w:sz w:val="24"/>
      <w:szCs w:val="24"/>
    </w:rPr>
  </w:style>
  <w:style w:type="paragraph" w:customStyle="1" w:styleId="p16">
    <w:name w:val="p16"/>
    <w:basedOn w:val="aa"/>
    <w:qFormat/>
    <w:pPr>
      <w:widowControl/>
      <w:ind w:firstLine="420"/>
    </w:pPr>
    <w:rPr>
      <w:rFonts w:ascii="宋体" w:hAnsi="宋体" w:cs="宋体"/>
      <w:kern w:val="0"/>
      <w:sz w:val="24"/>
      <w:szCs w:val="24"/>
    </w:rPr>
  </w:style>
  <w:style w:type="paragraph" w:customStyle="1" w:styleId="a">
    <w:name w:val="列项——（一级）"/>
    <w:qFormat/>
    <w:pPr>
      <w:widowControl w:val="0"/>
      <w:numPr>
        <w:numId w:val="2"/>
      </w:numPr>
      <w:jc w:val="both"/>
    </w:pPr>
    <w:rPr>
      <w:rFonts w:ascii="宋体"/>
      <w:sz w:val="21"/>
    </w:rPr>
  </w:style>
  <w:style w:type="paragraph" w:customStyle="1" w:styleId="a9">
    <w:name w:val="注："/>
    <w:next w:val="aff2"/>
    <w:qFormat/>
    <w:pPr>
      <w:widowControl w:val="0"/>
      <w:numPr>
        <w:numId w:val="3"/>
      </w:numPr>
      <w:tabs>
        <w:tab w:val="clear" w:pos="1035"/>
      </w:tabs>
      <w:autoSpaceDE w:val="0"/>
      <w:autoSpaceDN w:val="0"/>
      <w:ind w:left="840"/>
      <w:jc w:val="both"/>
    </w:pPr>
    <w:rPr>
      <w:rFonts w:ascii="宋体"/>
      <w:sz w:val="18"/>
    </w:rPr>
  </w:style>
  <w:style w:type="paragraph" w:customStyle="1" w:styleId="a1">
    <w:name w:val="列项◆（三级）"/>
    <w:basedOn w:val="aa"/>
    <w:qFormat/>
    <w:pPr>
      <w:numPr>
        <w:ilvl w:val="2"/>
        <w:numId w:val="2"/>
      </w:numPr>
    </w:pPr>
    <w:rPr>
      <w:rFonts w:ascii="宋体"/>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0">
    <w:name w:val="列表段落1"/>
    <w:basedOn w:val="aa"/>
    <w:uiPriority w:val="34"/>
    <w:qFormat/>
    <w:pPr>
      <w:spacing w:afterLines="100" w:after="100" w:line="360" w:lineRule="auto"/>
      <w:ind w:leftChars="200" w:left="200" w:firstLineChars="200" w:firstLine="420"/>
    </w:pPr>
    <w:rPr>
      <w:szCs w:val="24"/>
    </w:rPr>
  </w:style>
  <w:style w:type="paragraph" w:customStyle="1" w:styleId="PlainText1">
    <w:name w:val="Plain Text1"/>
    <w:basedOn w:val="aa"/>
    <w:qFormat/>
    <w:pPr>
      <w:adjustRightInd w:val="0"/>
      <w:textAlignment w:val="baseline"/>
    </w:pPr>
    <w:rPr>
      <w:rFonts w:ascii="宋体" w:hAnsi="Courier New"/>
      <w:szCs w:val="20"/>
    </w:rPr>
  </w:style>
  <w:style w:type="paragraph" w:customStyle="1" w:styleId="a2">
    <w:name w:val="前言、引言标题"/>
    <w:next w:val="aa"/>
    <w:qFormat/>
    <w:pPr>
      <w:numPr>
        <w:numId w:val="1"/>
      </w:numPr>
      <w:shd w:val="clear" w:color="FFFFFF" w:fill="FFFFFF"/>
      <w:spacing w:before="640" w:after="560"/>
      <w:jc w:val="center"/>
      <w:outlineLvl w:val="0"/>
    </w:pPr>
    <w:rPr>
      <w:rFonts w:ascii="黑体" w:eastAsia="黑体"/>
      <w:sz w:val="32"/>
    </w:rPr>
  </w:style>
  <w:style w:type="paragraph" w:customStyle="1" w:styleId="ListParagraph11">
    <w:name w:val="List Paragraph11"/>
    <w:basedOn w:val="aa"/>
    <w:qFormat/>
    <w:pPr>
      <w:spacing w:line="400" w:lineRule="exact"/>
      <w:ind w:firstLineChars="200" w:firstLine="420"/>
    </w:pPr>
    <w:rPr>
      <w:rFonts w:ascii="Calibri" w:hAnsi="Calibri"/>
      <w:szCs w:val="22"/>
    </w:rPr>
  </w:style>
  <w:style w:type="paragraph" w:customStyle="1" w:styleId="Pa4">
    <w:name w:val="Pa4"/>
    <w:basedOn w:val="aa"/>
    <w:next w:val="aa"/>
    <w:qFormat/>
    <w:pPr>
      <w:autoSpaceDE w:val="0"/>
      <w:autoSpaceDN w:val="0"/>
      <w:adjustRightInd w:val="0"/>
      <w:spacing w:line="260" w:lineRule="atLeast"/>
      <w:jc w:val="left"/>
    </w:pPr>
    <w:rPr>
      <w:rFonts w:ascii="Siemens Serif" w:eastAsia="Siemens Serif"/>
      <w:kern w:val="0"/>
      <w:sz w:val="24"/>
      <w:szCs w:val="24"/>
    </w:rPr>
  </w:style>
  <w:style w:type="paragraph" w:customStyle="1" w:styleId="aff6">
    <w:name w:val="数字编号列项（二级）"/>
    <w:qFormat/>
    <w:pPr>
      <w:tabs>
        <w:tab w:val="left" w:pos="1260"/>
      </w:tabs>
      <w:ind w:left="1259" w:hanging="419"/>
      <w:jc w:val="both"/>
    </w:pPr>
    <w:rPr>
      <w:rFonts w:ascii="宋体"/>
      <w:sz w:val="21"/>
    </w:rPr>
  </w:style>
  <w:style w:type="paragraph" w:customStyle="1" w:styleId="p0">
    <w:name w:val="p0"/>
    <w:basedOn w:val="aa"/>
    <w:qFormat/>
    <w:pPr>
      <w:widowControl/>
    </w:pPr>
    <w:rPr>
      <w:kern w:val="0"/>
    </w:rPr>
  </w:style>
  <w:style w:type="paragraph" w:customStyle="1" w:styleId="CharCharChar">
    <w:name w:val="Char Char Char"/>
    <w:basedOn w:val="aa"/>
    <w:qFormat/>
    <w:rPr>
      <w:sz w:val="28"/>
      <w:szCs w:val="20"/>
    </w:rPr>
  </w:style>
  <w:style w:type="table" w:customStyle="1" w:styleId="TableNormal1">
    <w:name w:val="Table Normal1"/>
    <w:qFormat/>
    <w:tblPr>
      <w:tblCellMar>
        <w:top w:w="0" w:type="dxa"/>
        <w:left w:w="0" w:type="dxa"/>
        <w:bottom w:w="0" w:type="dxa"/>
        <w:right w:w="0" w:type="dxa"/>
      </w:tblCellMar>
    </w:tblPr>
  </w:style>
  <w:style w:type="paragraph" w:customStyle="1" w:styleId="Other1">
    <w:name w:val="Other|1"/>
    <w:basedOn w:val="aa"/>
    <w:qFormat/>
    <w:pPr>
      <w:ind w:firstLine="180"/>
    </w:pPr>
    <w:rPr>
      <w:sz w:val="20"/>
      <w:szCs w:val="20"/>
    </w:rPr>
  </w:style>
  <w:style w:type="paragraph" w:customStyle="1" w:styleId="ListParagraph1">
    <w:name w:val="List Paragraph1"/>
    <w:basedOn w:val="aa"/>
    <w:uiPriority w:val="99"/>
    <w:qFormat/>
    <w:pPr>
      <w:ind w:left="720"/>
    </w:pPr>
  </w:style>
  <w:style w:type="paragraph" w:customStyle="1" w:styleId="TableParagraph">
    <w:name w:val="Table Paragraph"/>
    <w:basedOn w:val="aa"/>
    <w:uiPriority w:val="1"/>
    <w:qFormat/>
    <w:rPr>
      <w:rFonts w:ascii="宋体" w:hAnsi="宋体" w:cs="宋体"/>
      <w:lang w:val="zh-CN" w:bidi="zh-CN"/>
    </w:rPr>
  </w:style>
  <w:style w:type="paragraph" w:customStyle="1" w:styleId="Style61">
    <w:name w:val="_Style 61"/>
    <w:basedOn w:val="aa"/>
    <w:next w:val="aa"/>
    <w:uiPriority w:val="34"/>
    <w:qFormat/>
    <w:pPr>
      <w:ind w:left="720"/>
    </w:pPr>
  </w:style>
  <w:style w:type="character" w:customStyle="1" w:styleId="font01">
    <w:name w:val="font01"/>
    <w:basedOn w:val="ab"/>
    <w:qFormat/>
    <w:rPr>
      <w:rFonts w:ascii="宋体" w:eastAsia="宋体" w:hAnsi="宋体" w:cs="宋体" w:hint="eastAsia"/>
      <w:color w:val="000000"/>
      <w:sz w:val="22"/>
      <w:szCs w:val="22"/>
      <w:u w:val="none"/>
    </w:rPr>
  </w:style>
  <w:style w:type="character" w:customStyle="1" w:styleId="font61">
    <w:name w:val="font61"/>
    <w:basedOn w:val="ab"/>
    <w:qFormat/>
    <w:rPr>
      <w:rFonts w:ascii="宋体" w:eastAsia="宋体" w:hAnsi="宋体" w:cs="宋体" w:hint="eastAsia"/>
      <w:color w:val="FF0000"/>
      <w:sz w:val="22"/>
      <w:szCs w:val="22"/>
      <w:u w:val="none"/>
    </w:rPr>
  </w:style>
  <w:style w:type="character" w:customStyle="1" w:styleId="font41">
    <w:name w:val="font41"/>
    <w:basedOn w:val="ab"/>
    <w:qFormat/>
    <w:rPr>
      <w:rFonts w:ascii="Arial" w:hAnsi="Arial" w:cs="Arial" w:hint="default"/>
      <w:color w:val="FF0000"/>
      <w:sz w:val="22"/>
      <w:szCs w:val="22"/>
      <w:u w:val="none"/>
    </w:rPr>
  </w:style>
  <w:style w:type="character" w:customStyle="1" w:styleId="font31">
    <w:name w:val="font31"/>
    <w:basedOn w:val="ab"/>
    <w:qFormat/>
    <w:rPr>
      <w:rFonts w:ascii="Arial" w:hAnsi="Arial" w:cs="Arial" w:hint="default"/>
      <w:color w:val="000000"/>
      <w:sz w:val="22"/>
      <w:szCs w:val="22"/>
      <w:u w:val="none"/>
    </w:rPr>
  </w:style>
  <w:style w:type="character" w:customStyle="1" w:styleId="font51">
    <w:name w:val="font51"/>
    <w:basedOn w:val="ab"/>
    <w:qFormat/>
    <w:rPr>
      <w:rFonts w:ascii="Arial" w:hAnsi="Arial" w:cs="Arial" w:hint="default"/>
      <w:strike/>
      <w:color w:val="FF0000"/>
      <w:sz w:val="22"/>
      <w:szCs w:val="22"/>
    </w:rPr>
  </w:style>
  <w:style w:type="character" w:customStyle="1" w:styleId="font11">
    <w:name w:val="font11"/>
    <w:basedOn w:val="ab"/>
    <w:qFormat/>
    <w:rPr>
      <w:rFonts w:ascii="宋体" w:eastAsia="宋体" w:hAnsi="宋体" w:cs="宋体" w:hint="eastAsia"/>
      <w:color w:val="000000"/>
      <w:sz w:val="22"/>
      <w:szCs w:val="22"/>
      <w:u w:val="none"/>
    </w:rPr>
  </w:style>
  <w:style w:type="paragraph" w:styleId="aff7">
    <w:name w:val="List Paragraph"/>
    <w:basedOn w:val="aa"/>
    <w:uiPriority w:val="34"/>
    <w:qFormat/>
    <w:pPr>
      <w:adjustRightInd w:val="0"/>
      <w:spacing w:line="312" w:lineRule="atLeast"/>
      <w:ind w:firstLineChars="200" w:firstLine="420"/>
      <w:textAlignment w:val="baseline"/>
    </w:pPr>
    <w:rPr>
      <w:kern w:val="0"/>
      <w:szCs w:val="20"/>
    </w:rPr>
  </w:style>
  <w:style w:type="paragraph" w:customStyle="1" w:styleId="Bodytext1">
    <w:name w:val="Body text|1"/>
    <w:basedOn w:val="aa"/>
    <w:qFormat/>
    <w:pPr>
      <w:spacing w:line="350" w:lineRule="auto"/>
      <w:jc w:val="left"/>
    </w:pPr>
    <w:rPr>
      <w:rFonts w:ascii="宋体" w:hAnsi="宋体" w:cs="宋体"/>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2226</Words>
  <Characters>12693</Characters>
  <Application>Microsoft Office Word</Application>
  <DocSecurity>0</DocSecurity>
  <Lines>105</Lines>
  <Paragraphs>29</Paragraphs>
  <ScaleCrop>false</ScaleCrop>
  <Company>Xtzj.Com</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Xtzj.User</dc:creator>
  <cp:lastModifiedBy>Dell</cp:lastModifiedBy>
  <cp:revision>11</cp:revision>
  <cp:lastPrinted>2022-09-22T05:19:00Z</cp:lastPrinted>
  <dcterms:created xsi:type="dcterms:W3CDTF">2019-03-20T21:17:00Z</dcterms:created>
  <dcterms:modified xsi:type="dcterms:W3CDTF">2023-04-13T04:03:00Z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0A8B0F44010A4440B1EFA2B8D6453EBA</vt:lpwstr>
  </property>
</Properties>
</file>