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720"/>
        <w:gridCol w:w="3506"/>
        <w:gridCol w:w="994"/>
        <w:gridCol w:w="1080"/>
        <w:gridCol w:w="1080"/>
        <w:gridCol w:w="876"/>
      </w:tblGrid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基本性能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201.4.3</w:t>
            </w:r>
          </w:p>
        </w:tc>
        <w:tc>
          <w:tcPr>
            <w:tcW w:w="4500" w:type="dxa"/>
            <w:gridSpan w:val="2"/>
          </w:tcPr>
          <w:p w:rsidR="005F5BD0" w:rsidRDefault="0037541B">
            <w:pPr>
              <w:pStyle w:val="a6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增补：</w:t>
            </w:r>
          </w:p>
          <w:p w:rsidR="005F5BD0" w:rsidRDefault="0037541B">
            <w:pPr>
              <w:pStyle w:val="a6"/>
              <w:spacing w:beforeLines="50" w:before="156" w:afterLines="50" w:after="156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 w:hint="eastAsia"/>
              </w:rPr>
              <w:t>4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 w:hint="eastAsia"/>
              </w:rPr>
              <w:t>101</w:t>
            </w:r>
            <w:r>
              <w:rPr>
                <w:rFonts w:ascii="Times New Roman"/>
              </w:rPr>
              <w:t> </w:t>
            </w:r>
            <w:r>
              <w:rPr>
                <w:rFonts w:ascii="Times New Roman" w:hint="eastAsia"/>
              </w:rPr>
              <w:t>增补的基本性能要求</w:t>
            </w:r>
          </w:p>
          <w:p w:rsidR="005F5BD0" w:rsidRDefault="0037541B">
            <w:pPr>
              <w:pStyle w:val="a6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增补的基本性能要求见表</w:t>
            </w:r>
            <w:r>
              <w:rPr>
                <w:rFonts w:ascii="Times New Roman" w:hint="eastAsia"/>
              </w:rPr>
              <w:t>201.101</w:t>
            </w:r>
          </w:p>
          <w:p w:rsidR="005F5BD0" w:rsidRDefault="0037541B">
            <w:pPr>
              <w:pStyle w:val="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bookmarkStart w:id="0" w:name="_Toc512688337"/>
            <w:bookmarkStart w:id="1" w:name="_Toc512688514"/>
            <w:bookmarkStart w:id="2" w:name="_Toc513814816"/>
            <w:r>
              <w:rPr>
                <w:rFonts w:hint="eastAsia"/>
                <w:sz w:val="18"/>
                <w:szCs w:val="18"/>
              </w:rPr>
              <w:t>分散的</w:t>
            </w:r>
            <w:r>
              <w:rPr>
                <w:rFonts w:hAnsi="黑体" w:hint="eastAsia"/>
                <w:sz w:val="18"/>
                <w:szCs w:val="18"/>
              </w:rPr>
              <w:t>基本性能</w:t>
            </w:r>
            <w:r>
              <w:rPr>
                <w:rFonts w:hint="eastAsia"/>
                <w:sz w:val="18"/>
                <w:szCs w:val="18"/>
              </w:rPr>
              <w:t>要求</w:t>
            </w:r>
            <w:bookmarkEnd w:id="0"/>
            <w:bookmarkEnd w:id="1"/>
            <w:bookmarkEnd w:id="2"/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7"/>
              <w:gridCol w:w="2077"/>
            </w:tblGrid>
            <w:tr w:rsidR="005F5BD0">
              <w:trPr>
                <w:trHeight w:val="329"/>
              </w:trPr>
              <w:tc>
                <w:tcPr>
                  <w:tcW w:w="2077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5F5BD0" w:rsidRDefault="0037541B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要求</w:t>
                  </w:r>
                </w:p>
              </w:tc>
              <w:tc>
                <w:tcPr>
                  <w:tcW w:w="207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5F5BD0" w:rsidRDefault="0037541B">
                  <w:pPr>
                    <w:jc w:val="center"/>
                    <w:rPr>
                      <w:rFonts w:ascii="宋体"/>
                    </w:rPr>
                  </w:pPr>
                  <w:proofErr w:type="gramStart"/>
                  <w:r>
                    <w:rPr>
                      <w:rFonts w:ascii="宋体" w:hint="eastAsia"/>
                    </w:rPr>
                    <w:t>章条号</w:t>
                  </w:r>
                  <w:proofErr w:type="gramEnd"/>
                </w:p>
              </w:tc>
            </w:tr>
            <w:tr w:rsidR="005F5BD0">
              <w:trPr>
                <w:trHeight w:val="316"/>
              </w:trPr>
              <w:tc>
                <w:tcPr>
                  <w:tcW w:w="2077" w:type="dxa"/>
                  <w:tcBorders>
                    <w:top w:val="single" w:sz="8" w:space="0" w:color="auto"/>
                  </w:tcBorders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信号的重建准确度</w:t>
                  </w:r>
                </w:p>
              </w:tc>
              <w:tc>
                <w:tcPr>
                  <w:tcW w:w="2077" w:type="dxa"/>
                  <w:tcBorders>
                    <w:top w:val="single" w:sz="8" w:space="0" w:color="auto"/>
                  </w:tcBorders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201.12.1.101.1</w:t>
                  </w:r>
                </w:p>
              </w:tc>
            </w:tr>
            <w:tr w:rsidR="005F5BD0">
              <w:trPr>
                <w:trHeight w:val="329"/>
              </w:trPr>
              <w:tc>
                <w:tcPr>
                  <w:tcW w:w="2077" w:type="dxa"/>
                  <w:tcBorders>
                    <w:bottom w:val="single" w:sz="4" w:space="0" w:color="auto"/>
                  </w:tcBorders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输入动态范围</w:t>
                  </w:r>
                  <w:proofErr w:type="gramStart"/>
                  <w:r>
                    <w:rPr>
                      <w:rFonts w:ascii="宋体" w:hint="eastAsia"/>
                    </w:rPr>
                    <w:t>和差模偏置</w:t>
                  </w:r>
                  <w:proofErr w:type="gramEnd"/>
                  <w:r>
                    <w:rPr>
                      <w:rFonts w:ascii="宋体" w:hint="eastAsia"/>
                    </w:rPr>
                    <w:t>电压</w:t>
                  </w:r>
                </w:p>
              </w:tc>
              <w:tc>
                <w:tcPr>
                  <w:tcW w:w="2077" w:type="dxa"/>
                  <w:tcBorders>
                    <w:bottom w:val="single" w:sz="4" w:space="0" w:color="auto"/>
                  </w:tcBorders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201.12.1.101.2</w:t>
                  </w:r>
                </w:p>
              </w:tc>
            </w:tr>
            <w:tr w:rsidR="005F5BD0">
              <w:trPr>
                <w:trHeight w:val="329"/>
              </w:trPr>
              <w:tc>
                <w:tcPr>
                  <w:tcW w:w="2077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输入噪声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201.12.1.101.3</w:t>
                  </w:r>
                </w:p>
              </w:tc>
            </w:tr>
            <w:tr w:rsidR="005F5BD0">
              <w:trPr>
                <w:trHeight w:val="329"/>
              </w:trPr>
              <w:tc>
                <w:tcPr>
                  <w:tcW w:w="2077" w:type="dxa"/>
                  <w:tcBorders>
                    <w:top w:val="single" w:sz="8" w:space="0" w:color="auto"/>
                  </w:tcBorders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频率响应</w:t>
                  </w:r>
                </w:p>
              </w:tc>
              <w:tc>
                <w:tcPr>
                  <w:tcW w:w="2077" w:type="dxa"/>
                  <w:tcBorders>
                    <w:top w:val="single" w:sz="8" w:space="0" w:color="auto"/>
                  </w:tcBorders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201.12.1.101.4</w:t>
                  </w:r>
                </w:p>
              </w:tc>
            </w:tr>
            <w:tr w:rsidR="005F5BD0">
              <w:trPr>
                <w:trHeight w:val="316"/>
              </w:trPr>
              <w:tc>
                <w:tcPr>
                  <w:tcW w:w="2077" w:type="dxa"/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共模抑制</w:t>
                  </w:r>
                </w:p>
              </w:tc>
              <w:tc>
                <w:tcPr>
                  <w:tcW w:w="2077" w:type="dxa"/>
                </w:tcPr>
                <w:p w:rsidR="005F5BD0" w:rsidRDefault="0037541B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201.12.1.101.5</w:t>
                  </w:r>
                </w:p>
              </w:tc>
            </w:tr>
          </w:tbl>
          <w:p w:rsidR="005F5BD0" w:rsidRDefault="005F5BD0">
            <w:pPr>
              <w:ind w:right="840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  <w:vMerge w:val="restart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Merge w:val="restart"/>
          </w:tcPr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设备试验的通用要求</w:t>
            </w:r>
          </w:p>
        </w:tc>
        <w:tc>
          <w:tcPr>
            <w:tcW w:w="720" w:type="dxa"/>
            <w:vMerge w:val="restart"/>
          </w:tcPr>
          <w:p w:rsidR="005F5BD0" w:rsidRDefault="0037541B">
            <w:r>
              <w:rPr>
                <w:rFonts w:hint="eastAsia"/>
              </w:rPr>
              <w:t>201.5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除下述内容外，通用标准中的第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章适用。</w:t>
            </w:r>
          </w:p>
          <w:p w:rsidR="005F5BD0" w:rsidRDefault="0037541B">
            <w:r>
              <w:rPr>
                <w:rFonts w:hint="eastAsia"/>
              </w:rPr>
              <w:t>201.5.4</w:t>
            </w:r>
            <w:r>
              <w:rPr>
                <w:rFonts w:hint="eastAsia"/>
              </w:rPr>
              <w:t xml:space="preserve">　其它条件</w:t>
            </w:r>
          </w:p>
          <w:p w:rsidR="005F5BD0" w:rsidRDefault="0037541B">
            <w:r>
              <w:rPr>
                <w:rFonts w:hint="eastAsia"/>
              </w:rPr>
              <w:t>增补：</w:t>
            </w:r>
          </w:p>
          <w:p w:rsidR="005F5BD0" w:rsidRDefault="0037541B">
            <w:proofErr w:type="spellStart"/>
            <w:r>
              <w:rPr>
                <w:rFonts w:hint="eastAsia"/>
              </w:rPr>
              <w:t>aa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除非另有说明，测试应使用制造商所指定的附件和记录材料。</w:t>
            </w:r>
          </w:p>
          <w:p w:rsidR="005F5BD0" w:rsidRDefault="0037541B">
            <w:r>
              <w:rPr>
                <w:rFonts w:hint="eastAsia"/>
              </w:rPr>
              <w:t>对于有内部电源的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设备，如果试验结果受到内部电源电压的影响，则应使用制造商规定的最不利的内部电源电压进行试验。如果需要进行这项测试，可使用外部电池或直流供电提供所需的试验电压。</w:t>
            </w:r>
          </w:p>
          <w:p w:rsidR="005F5BD0" w:rsidRDefault="0037541B">
            <w:r>
              <w:rPr>
                <w:rFonts w:hint="eastAsia"/>
              </w:rPr>
              <w:t>除非另有规定，测试电路中的各个器件值应至少达到以下精度：</w:t>
            </w:r>
          </w:p>
          <w:p w:rsidR="005F5BD0" w:rsidRDefault="0037541B">
            <w:r>
              <w:rPr>
                <w:rFonts w:hint="eastAsia"/>
              </w:rPr>
              <w:t>——电阻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1 %</w:t>
            </w:r>
            <w:r>
              <w:rPr>
                <w:rFonts w:hint="eastAsia"/>
              </w:rPr>
              <w:t>；</w:t>
            </w:r>
          </w:p>
          <w:p w:rsidR="005F5BD0" w:rsidRDefault="0037541B">
            <w:r>
              <w:rPr>
                <w:rFonts w:hint="eastAsia"/>
              </w:rPr>
              <w:t>——电容器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10 %</w:t>
            </w:r>
            <w:r>
              <w:rPr>
                <w:rFonts w:hint="eastAsia"/>
              </w:rPr>
              <w:t>；</w:t>
            </w:r>
          </w:p>
          <w:p w:rsidR="005F5BD0" w:rsidRDefault="0037541B">
            <w:r>
              <w:rPr>
                <w:rFonts w:hint="eastAsia"/>
              </w:rPr>
              <w:t>——电感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10 %</w:t>
            </w:r>
            <w:r>
              <w:rPr>
                <w:rFonts w:hint="eastAsia"/>
              </w:rPr>
              <w:t>；</w:t>
            </w:r>
          </w:p>
          <w:p w:rsidR="005F5BD0" w:rsidRDefault="0037541B">
            <w:r>
              <w:rPr>
                <w:rFonts w:hint="eastAsia"/>
              </w:rPr>
              <w:t>——试验电压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1 % </w:t>
            </w:r>
            <w:r>
              <w:rPr>
                <w:rFonts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201.5.8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试验顺序</w:t>
            </w:r>
          </w:p>
          <w:p w:rsidR="005F5BD0" w:rsidRDefault="0037541B">
            <w:r>
              <w:rPr>
                <w:rFonts w:hint="eastAsia"/>
              </w:rPr>
              <w:t>修改：</w:t>
            </w:r>
          </w:p>
          <w:p w:rsidR="005F5BD0" w:rsidRDefault="0037541B">
            <w:r>
              <w:rPr>
                <w:rFonts w:hint="eastAsia"/>
              </w:rPr>
              <w:t>本文件的</w:t>
            </w:r>
            <w:r>
              <w:rPr>
                <w:rFonts w:hint="eastAsia"/>
              </w:rPr>
              <w:t>201.8.5.5.1</w:t>
            </w:r>
            <w:r>
              <w:rPr>
                <w:rFonts w:hint="eastAsia"/>
              </w:rPr>
              <w:t>和通用标准的</w:t>
            </w:r>
            <w:r>
              <w:rPr>
                <w:rFonts w:hint="eastAsia"/>
              </w:rPr>
              <w:t>8.5.5</w:t>
            </w:r>
            <w:r>
              <w:rPr>
                <w:rFonts w:hint="eastAsia"/>
              </w:rPr>
              <w:t>中要求的测试，其执行顺序应优先通用标准的</w:t>
            </w:r>
            <w:r>
              <w:rPr>
                <w:rFonts w:hint="eastAsia"/>
              </w:rPr>
              <w:t>8.7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8.8</w:t>
            </w:r>
            <w:r>
              <w:rPr>
                <w:rFonts w:hint="eastAsia"/>
              </w:rPr>
              <w:t>中描述的漏电流和电介质强度测试，且应优先于本文件的</w:t>
            </w:r>
            <w:r>
              <w:rPr>
                <w:rFonts w:hint="eastAsia"/>
              </w:rPr>
              <w:t>201.12.1.101</w:t>
            </w:r>
            <w:r>
              <w:rPr>
                <w:rFonts w:hint="eastAsia"/>
              </w:rPr>
              <w:t>中规定的测试。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对电击防护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201.6.2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最后一段替换为：</w:t>
            </w:r>
          </w:p>
          <w:p w:rsidR="005F5BD0" w:rsidRDefault="0037541B">
            <w:r>
              <w:rPr>
                <w:rFonts w:hint="eastAsia"/>
              </w:rPr>
              <w:t>应用部分分类应为</w:t>
            </w:r>
            <w:r>
              <w:rPr>
                <w:rFonts w:hint="eastAsia"/>
              </w:rPr>
              <w:t>BF</w:t>
            </w:r>
            <w:r>
              <w:rPr>
                <w:rFonts w:hint="eastAsia"/>
              </w:rPr>
              <w:t>型应用部分或</w:t>
            </w:r>
            <w:r>
              <w:rPr>
                <w:rFonts w:hint="eastAsia"/>
              </w:rPr>
              <w:t>CF</w:t>
            </w:r>
            <w:r>
              <w:rPr>
                <w:rFonts w:hint="eastAsia"/>
              </w:rPr>
              <w:t>型应用部分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见通用标准的</w:t>
            </w:r>
            <w:r>
              <w:rPr>
                <w:rFonts w:hint="eastAsia"/>
              </w:rPr>
              <w:t>7.2.10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8.3 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运行模式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201.6.6</w:t>
            </w:r>
          </w:p>
        </w:tc>
        <w:tc>
          <w:tcPr>
            <w:tcW w:w="4500" w:type="dxa"/>
            <w:gridSpan w:val="2"/>
          </w:tcPr>
          <w:p w:rsidR="005F5BD0" w:rsidRDefault="0037541B">
            <w:pPr>
              <w:ind w:left="-3" w:firstLine="3"/>
            </w:pPr>
            <w:r>
              <w:rPr>
                <w:rFonts w:hint="eastAsia"/>
              </w:rPr>
              <w:t>替换：</w:t>
            </w:r>
          </w:p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设备分类应为连续运行。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设备和</w:t>
            </w:r>
            <w:proofErr w:type="gramStart"/>
            <w:r>
              <w:rPr>
                <w:rFonts w:hint="eastAsia"/>
              </w:rPr>
              <w:t>可</w:t>
            </w:r>
            <w:proofErr w:type="gramEnd"/>
            <w:r>
              <w:rPr>
                <w:rFonts w:hint="eastAsia"/>
              </w:rPr>
              <w:t>更换部件上标记的最低要求</w:t>
            </w:r>
          </w:p>
          <w:p w:rsidR="005F5BD0" w:rsidRDefault="005F5BD0"/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201.7.2.1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增补：</w:t>
            </w:r>
          </w:p>
          <w:p w:rsidR="005F5BD0" w:rsidRDefault="0037541B"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设备规定具备防除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效应：</w:t>
            </w:r>
          </w:p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设备部件（例如，患者电缆或传感器）规定具备防除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效应，应根据通用标准</w:t>
            </w:r>
            <w:r>
              <w:rPr>
                <w:rFonts w:hint="eastAsia"/>
              </w:rPr>
              <w:t>BF</w:t>
            </w:r>
            <w:r>
              <w:rPr>
                <w:rFonts w:hint="eastAsia"/>
              </w:rPr>
              <w:t>型应用部分或</w:t>
            </w:r>
            <w:r>
              <w:rPr>
                <w:rFonts w:hint="eastAsia"/>
              </w:rPr>
              <w:t>CF</w:t>
            </w:r>
            <w:r>
              <w:rPr>
                <w:rFonts w:hint="eastAsia"/>
              </w:rPr>
              <w:t>型应用部分的分类，按通用标准附录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中表</w:t>
            </w:r>
            <w:r>
              <w:rPr>
                <w:rFonts w:hint="eastAsia"/>
              </w:rPr>
              <w:t xml:space="preserve">D.1 </w:t>
            </w:r>
            <w:r>
              <w:rPr>
                <w:rFonts w:hint="eastAsia"/>
              </w:rPr>
              <w:t>的符号</w:t>
            </w:r>
            <w:r>
              <w:rPr>
                <w:rFonts w:hint="eastAsia"/>
              </w:rPr>
              <w:t xml:space="preserve">26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27 </w:t>
            </w:r>
            <w:r>
              <w:rPr>
                <w:rFonts w:hint="eastAsia"/>
              </w:rPr>
              <w:t>标记。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1817"/>
          <w:jc w:val="center"/>
        </w:trPr>
        <w:tc>
          <w:tcPr>
            <w:tcW w:w="540" w:type="dxa"/>
            <w:vMerge w:val="restart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vMerge w:val="restart"/>
          </w:tcPr>
          <w:p w:rsidR="005F5BD0" w:rsidRDefault="0037541B">
            <w:r>
              <w:rPr>
                <w:rFonts w:hint="eastAsia"/>
              </w:rPr>
              <w:t>使用说明书</w:t>
            </w:r>
          </w:p>
        </w:tc>
        <w:tc>
          <w:tcPr>
            <w:tcW w:w="720" w:type="dxa"/>
            <w:vMerge w:val="restart"/>
          </w:tcPr>
          <w:p w:rsidR="005F5BD0" w:rsidRDefault="0037541B">
            <w:r>
              <w:rPr>
                <w:rFonts w:hint="eastAsia"/>
              </w:rPr>
              <w:t>201.7.9.2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增补条款：</w:t>
            </w:r>
          </w:p>
          <w:p w:rsidR="005F5BD0" w:rsidRDefault="0037541B">
            <w:r>
              <w:t>201.7.9.2.101 </w:t>
            </w:r>
            <w:r>
              <w:rPr>
                <w:rFonts w:hint="eastAsia"/>
              </w:rPr>
              <w:t>补充使用说明书</w:t>
            </w:r>
          </w:p>
          <w:p w:rsidR="005F5BD0" w:rsidRDefault="0037541B">
            <w:r>
              <w:rPr>
                <w:rFonts w:hint="eastAsia"/>
              </w:rPr>
              <w:t>使用说明书还应包括：</w:t>
            </w:r>
          </w:p>
          <w:p w:rsidR="005F5BD0" w:rsidRDefault="0037541B"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预期用途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预期目的，包括使用环境。如有必要，宜通过风险分析来识别可能的误用并公开（例如：“不用于脑死亡的判定”）。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282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安全操作必要的步骤。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197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连接电位均衡导线的使用说明，如适用。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948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d)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电极及应用部分连接器的导电部件，包括中性电极，不宜接触其它导电部件，包括不与大地接触。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1491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e)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提醒操作者关注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设备和高频手术设备一起使用时，是否具有防止患者灼伤的防护装置的说明。应对电极和导联线等安放位置给出建议，以减少因高频手术设备中性电极连接不良而造成灼伤的危害。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317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f)</w:t>
            </w:r>
            <w:r>
              <w:rPr>
                <w:rFonts w:hint="eastAsia"/>
              </w:rPr>
              <w:tab/>
              <w:t>*ME</w:t>
            </w:r>
            <w:r>
              <w:rPr>
                <w:rFonts w:hint="eastAsia"/>
              </w:rPr>
              <w:t>设备及其附件需要定期的检测。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1499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g)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对患者使用除颤器时采取的预防措施；除颤器放电对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设备的影响的描述；除颤防护需要使用制造商指定的附件（包括导联线和患者电缆）的警告。应公开此类附件的规格（或型号）（见</w:t>
            </w:r>
            <w:r>
              <w:rPr>
                <w:rFonts w:hint="eastAsia"/>
              </w:rPr>
              <w:t>201.8.5.5.1</w:t>
            </w:r>
            <w:r>
              <w:rPr>
                <w:rFonts w:hint="eastAsia"/>
              </w:rPr>
              <w:t>）。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17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h)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指定患者电缆和导联线的选择及使用方法；电极的选择和使用方法。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326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供电网中断超过</w:t>
            </w:r>
            <w:r>
              <w:rPr>
                <w:rFonts w:hint="eastAsia"/>
              </w:rPr>
              <w:t xml:space="preserve">30 s </w:t>
            </w:r>
            <w:r>
              <w:rPr>
                <w:rFonts w:hint="eastAsia"/>
              </w:rPr>
              <w:t>后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设备随后的运行（见</w:t>
            </w:r>
            <w:r>
              <w:rPr>
                <w:rFonts w:hint="eastAsia"/>
              </w:rPr>
              <w:t>201.11.8</w:t>
            </w:r>
            <w:r>
              <w:rPr>
                <w:rFonts w:hint="eastAsia"/>
              </w:rPr>
              <w:t>）。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917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j)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由于同时使用其他带患者连接的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设备而引发的任何危险（例如，心脏起搏器或其他电刺激器）。</w:t>
            </w:r>
          </w:p>
          <w:p w:rsidR="005F5BD0" w:rsidRDefault="005F5BD0"/>
          <w:p w:rsidR="005F5BD0" w:rsidRDefault="005F5BD0"/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343"/>
          <w:jc w:val="center"/>
        </w:trPr>
        <w:tc>
          <w:tcPr>
            <w:tcW w:w="540" w:type="dxa"/>
            <w:vMerge w:val="restart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lastRenderedPageBreak/>
              <w:t>续</w:t>
            </w: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vMerge w:val="restart"/>
          </w:tcPr>
          <w:p w:rsidR="005F5BD0" w:rsidRDefault="0037541B">
            <w:r>
              <w:rPr>
                <w:rFonts w:hint="eastAsia"/>
              </w:rPr>
              <w:t>使用说明书</w:t>
            </w:r>
          </w:p>
        </w:tc>
        <w:tc>
          <w:tcPr>
            <w:tcW w:w="720" w:type="dxa"/>
            <w:vMerge w:val="restart"/>
          </w:tcPr>
          <w:p w:rsidR="005F5BD0" w:rsidRDefault="0037541B">
            <w:r>
              <w:rPr>
                <w:rFonts w:hint="eastAsia"/>
              </w:rPr>
              <w:t>201.7.9.2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k)</w:t>
            </w:r>
            <w:r>
              <w:rPr>
                <w:rFonts w:hint="eastAsia"/>
              </w:rPr>
              <w:tab/>
              <w:t>ME</w:t>
            </w:r>
            <w:r>
              <w:rPr>
                <w:rFonts w:hint="eastAsia"/>
              </w:rPr>
              <w:t>设备的技术说明书要足够详细，要考虑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1272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让操作者了解在测量什么和有何限制，至少要包括：</w:t>
            </w:r>
          </w:p>
          <w:p w:rsidR="005F5BD0" w:rsidRDefault="0037541B">
            <w:r>
              <w:rPr>
                <w:rFonts w:hint="eastAsia"/>
              </w:rPr>
              <w:t>——频率范围和带宽；</w:t>
            </w:r>
          </w:p>
          <w:p w:rsidR="005F5BD0" w:rsidRDefault="0037541B">
            <w:r>
              <w:rPr>
                <w:rFonts w:hint="eastAsia"/>
              </w:rPr>
              <w:t>——所有功能的描述；</w:t>
            </w:r>
          </w:p>
          <w:p w:rsidR="005F5BD0" w:rsidRDefault="0037541B">
            <w:r>
              <w:rPr>
                <w:rFonts w:hint="eastAsia"/>
              </w:rPr>
              <w:t>——波形显示的描述（如适用）。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335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l)</w:t>
            </w:r>
            <w:r>
              <w:rPr>
                <w:rFonts w:hint="eastAsia"/>
              </w:rPr>
              <w:tab/>
              <w:t>*</w:t>
            </w:r>
            <w:r>
              <w:rPr>
                <w:rFonts w:hint="eastAsia"/>
              </w:rPr>
              <w:t>任何已知的对电磁现象的敏感性。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电击防护的基本原则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201.8.1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增补：</w:t>
            </w:r>
          </w:p>
          <w:p w:rsidR="005F5BD0" w:rsidRDefault="0037541B">
            <w:r>
              <w:rPr>
                <w:rFonts w:hint="eastAsia"/>
              </w:rPr>
              <w:t>201.8.101</w:t>
            </w:r>
            <w:r>
              <w:rPr>
                <w:rFonts w:hint="eastAsia"/>
              </w:rPr>
              <w:t xml:space="preserve">　多用途通道</w:t>
            </w:r>
          </w:p>
          <w:p w:rsidR="005F5BD0" w:rsidRDefault="0037541B">
            <w:r>
              <w:rPr>
                <w:rFonts w:hint="eastAsia"/>
              </w:rPr>
              <w:t>如果脑电图机允许使用通道检测其他非</w:t>
            </w:r>
            <w:r>
              <w:rPr>
                <w:rFonts w:hint="eastAsia"/>
              </w:rPr>
              <w:t>EEG</w:t>
            </w:r>
            <w:r>
              <w:rPr>
                <w:rFonts w:hint="eastAsia"/>
              </w:rPr>
              <w:t>信号，那么这个设备应通过相关标准条款的测试。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8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应用部分的分类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201.8.3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201.8.3</w:t>
            </w:r>
            <w:r>
              <w:rPr>
                <w:rFonts w:hint="eastAsia"/>
              </w:rPr>
              <w:t xml:space="preserve">　应用部分的分类</w:t>
            </w:r>
          </w:p>
          <w:p w:rsidR="005F5BD0" w:rsidRDefault="0037541B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）项的替换：</w:t>
            </w:r>
          </w:p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设备应用部分应为</w:t>
            </w:r>
            <w:r>
              <w:rPr>
                <w:rFonts w:hint="eastAsia"/>
              </w:rPr>
              <w:t>BF</w:t>
            </w:r>
            <w:r>
              <w:rPr>
                <w:rFonts w:hint="eastAsia"/>
              </w:rPr>
              <w:t>型应用部分或</w:t>
            </w:r>
            <w:r>
              <w:rPr>
                <w:rFonts w:hint="eastAsia"/>
              </w:rPr>
              <w:t>CF</w:t>
            </w:r>
            <w:r>
              <w:rPr>
                <w:rFonts w:hint="eastAsia"/>
              </w:rPr>
              <w:t>型应用部分。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9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患者导联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201.8.5.2.3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增补：</w:t>
            </w:r>
          </w:p>
          <w:p w:rsidR="005F5BD0" w:rsidRDefault="0037541B"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：对于</w:t>
            </w:r>
            <w:r>
              <w:rPr>
                <w:rFonts w:hint="eastAsia"/>
              </w:rPr>
              <w:t>EMC</w:t>
            </w:r>
            <w:r>
              <w:rPr>
                <w:rFonts w:hint="eastAsia"/>
              </w:rPr>
              <w:t>（电磁兼容性）和物理电缆管理，脑电图机的导联通常都是比较短而且绑在一起。因此任何脱落的导联都会在病人头部的附近，所以对于连接到电极（患者端）的导联的传导连接部分没有额外的要求。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3758"/>
          <w:jc w:val="center"/>
        </w:trPr>
        <w:tc>
          <w:tcPr>
            <w:tcW w:w="540" w:type="dxa"/>
            <w:vMerge w:val="restart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Merge w:val="restart"/>
          </w:tcPr>
          <w:p w:rsidR="005F5BD0" w:rsidRDefault="0037541B">
            <w:r>
              <w:rPr>
                <w:rFonts w:hint="eastAsia"/>
              </w:rPr>
              <w:t>防除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应用部分</w:t>
            </w:r>
          </w:p>
        </w:tc>
        <w:tc>
          <w:tcPr>
            <w:tcW w:w="720" w:type="dxa"/>
            <w:vMerge w:val="restart"/>
          </w:tcPr>
          <w:p w:rsidR="005F5BD0" w:rsidRDefault="0037541B">
            <w:r>
              <w:t>201.8.</w:t>
            </w:r>
            <w:r>
              <w:rPr>
                <w:rFonts w:hint="eastAsia"/>
              </w:rPr>
              <w:t>5.5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增补：</w:t>
            </w:r>
          </w:p>
          <w:p w:rsidR="005F5BD0" w:rsidRDefault="0037541B"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设备提供除颤效应的防护，下列各项测试应被执行：</w:t>
            </w:r>
          </w:p>
          <w:p w:rsidR="005F5BD0" w:rsidRDefault="0037541B">
            <w:r>
              <w:rPr>
                <w:rFonts w:hint="eastAsia"/>
              </w:rPr>
              <w:t>进行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设备的除颤试验时，使用制造商指定的患者电缆。</w:t>
            </w:r>
          </w:p>
          <w:p w:rsidR="005F5BD0" w:rsidRDefault="0037541B">
            <w:r>
              <w:rPr>
                <w:rFonts w:hint="eastAsia"/>
              </w:rPr>
              <w:t>除通用标准</w:t>
            </w:r>
            <w:r>
              <w:rPr>
                <w:rFonts w:hint="eastAsia"/>
              </w:rPr>
              <w:t xml:space="preserve">8.5.5.1 </w:t>
            </w:r>
            <w:r>
              <w:rPr>
                <w:rFonts w:hint="eastAsia"/>
              </w:rPr>
              <w:t>规定的要求和试验外，以下要求和试验适用。</w:t>
            </w:r>
          </w:p>
          <w:p w:rsidR="005F5BD0" w:rsidRDefault="0037541B">
            <w:r>
              <w:rPr>
                <w:rFonts w:hint="eastAsia"/>
              </w:rPr>
              <w:t>共模试验</w:t>
            </w:r>
          </w:p>
          <w:p w:rsidR="005F5BD0" w:rsidRDefault="0037541B">
            <w:r>
              <w:rPr>
                <w:rFonts w:hint="eastAsia"/>
              </w:rPr>
              <w:t>增补：</w:t>
            </w:r>
          </w:p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设备应在承受除颤电压后的</w:t>
            </w:r>
            <w:r>
              <w:rPr>
                <w:rFonts w:hint="eastAsia"/>
              </w:rPr>
              <w:t>30 s</w:t>
            </w:r>
            <w:r>
              <w:rPr>
                <w:rFonts w:hint="eastAsia"/>
              </w:rPr>
              <w:t>内恢复至上一个运行模式的正常运行状态，</w:t>
            </w:r>
            <w:r>
              <w:rPr>
                <w:rFonts w:hint="eastAsia"/>
              </w:rPr>
              <w:t xml:space="preserve">    </w:t>
            </w:r>
          </w:p>
          <w:p w:rsidR="005F5BD0" w:rsidRDefault="0037541B">
            <w:pPr>
              <w:ind w:firstLineChars="1700" w:firstLine="3570"/>
            </w:pPr>
            <w:r>
              <w:rPr>
                <w:rFonts w:hint="eastAsia"/>
              </w:rPr>
              <w:t>单位：</w:t>
            </w:r>
            <w:r>
              <w:rPr>
                <w:rFonts w:hint="eastAsia"/>
              </w:rPr>
              <w:t>s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950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且不会丢失任何操作者设置或储存数据，并应能继续提供本文件中规定的预期功能。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1198"/>
          <w:jc w:val="center"/>
        </w:trPr>
        <w:tc>
          <w:tcPr>
            <w:tcW w:w="540" w:type="dxa"/>
            <w:vMerge w:val="restart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lastRenderedPageBreak/>
              <w:t>续</w:t>
            </w: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Merge w:val="restart"/>
          </w:tcPr>
          <w:p w:rsidR="005F5BD0" w:rsidRDefault="0037541B">
            <w:r>
              <w:rPr>
                <w:rFonts w:hint="eastAsia"/>
              </w:rPr>
              <w:t>防除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应用部分</w:t>
            </w:r>
          </w:p>
        </w:tc>
        <w:tc>
          <w:tcPr>
            <w:tcW w:w="720" w:type="dxa"/>
            <w:vMerge w:val="restart"/>
          </w:tcPr>
          <w:p w:rsidR="005F5BD0" w:rsidRDefault="0037541B">
            <w:r>
              <w:t>201.8.</w:t>
            </w:r>
            <w:r>
              <w:rPr>
                <w:rFonts w:hint="eastAsia"/>
              </w:rPr>
              <w:t>5.5</w:t>
            </w:r>
          </w:p>
        </w:tc>
        <w:tc>
          <w:tcPr>
            <w:tcW w:w="4500" w:type="dxa"/>
            <w:gridSpan w:val="2"/>
          </w:tcPr>
          <w:p w:rsidR="005F5BD0" w:rsidRDefault="0037541B">
            <w:proofErr w:type="gramStart"/>
            <w:r>
              <w:rPr>
                <w:rFonts w:hint="eastAsia"/>
              </w:rPr>
              <w:t>差模试验</w:t>
            </w:r>
            <w:proofErr w:type="gramEnd"/>
          </w:p>
          <w:p w:rsidR="005F5BD0" w:rsidRDefault="0037541B">
            <w:r>
              <w:rPr>
                <w:rFonts w:hint="eastAsia"/>
              </w:rPr>
              <w:t>增补：</w:t>
            </w:r>
          </w:p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设备应在承受除颤电压后的</w:t>
            </w:r>
            <w:r>
              <w:rPr>
                <w:rFonts w:hint="eastAsia"/>
              </w:rPr>
              <w:t>30 s</w:t>
            </w:r>
            <w:r>
              <w:rPr>
                <w:rFonts w:hint="eastAsia"/>
              </w:rPr>
              <w:t>内恢复至上一个运行模式的正常运行状态，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</w:rPr>
              <w:t>s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1620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且不会丢失任何操作者设置或储存数据，并应能继续提供本文件中规定的预期功能。</w:t>
            </w:r>
          </w:p>
          <w:p w:rsidR="005F5BD0" w:rsidRDefault="0037541B">
            <w:r>
              <w:rPr>
                <w:rFonts w:hint="eastAsia"/>
              </w:rPr>
              <w:t>能通过供电网充电的含内部电源的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设备，若和供电网连接时可运行，则应在和供电网连接、未和供电网连接时分别进行试验。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t>201.8.5.5.2 </w:t>
            </w:r>
            <w:r>
              <w:rPr>
                <w:rFonts w:hint="eastAsia"/>
              </w:rPr>
              <w:t>能量减少试验</w:t>
            </w:r>
          </w:p>
          <w:p w:rsidR="005F5BD0" w:rsidRDefault="0037541B">
            <w:r>
              <w:rPr>
                <w:rFonts w:hint="eastAsia"/>
              </w:rPr>
              <w:t>增补：</w:t>
            </w:r>
          </w:p>
          <w:p w:rsidR="005F5BD0" w:rsidRDefault="0037541B">
            <w:r>
              <w:rPr>
                <w:rFonts w:hint="eastAsia"/>
              </w:rPr>
              <w:t>能量减少试验装置见图</w:t>
            </w:r>
            <w:r>
              <w:rPr>
                <w:rFonts w:hint="eastAsia"/>
              </w:rPr>
              <w:t>201.103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11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漏电流和患者辅助电流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201.8.7</w:t>
            </w:r>
          </w:p>
        </w:tc>
        <w:tc>
          <w:tcPr>
            <w:tcW w:w="4500" w:type="dxa"/>
            <w:gridSpan w:val="2"/>
          </w:tcPr>
          <w:p w:rsidR="005F5BD0" w:rsidRDefault="0037541B">
            <w:pPr>
              <w:ind w:left="-3" w:right="-108"/>
            </w:pPr>
            <w:r>
              <w:rPr>
                <w:rFonts w:hint="eastAsia"/>
              </w:rPr>
              <w:t>201.8.7.1</w:t>
            </w:r>
            <w:r>
              <w:rPr>
                <w:rFonts w:hint="eastAsia"/>
              </w:rPr>
              <w:t xml:space="preserve">　通用要求</w:t>
            </w:r>
          </w:p>
          <w:p w:rsidR="005F5BD0" w:rsidRDefault="0037541B">
            <w:pPr>
              <w:ind w:left="-3" w:right="-108"/>
            </w:pPr>
            <w:r>
              <w:rPr>
                <w:rFonts w:hint="eastAsia"/>
              </w:rPr>
              <w:t>增补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5F5BD0" w:rsidRDefault="0037541B">
            <w:pPr>
              <w:ind w:left="-3" w:right="-108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的前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个破折号后增加</w:t>
            </w:r>
          </w:p>
          <w:p w:rsidR="005F5BD0" w:rsidRDefault="0037541B">
            <w:r>
              <w:rPr>
                <w:rFonts w:hint="eastAsia"/>
              </w:rPr>
              <w:t>——为了满足通用标准的试验要求，任何输入或导联组合的选择器置于能产生最不利的状况。最不利的状况应由检查电原理图和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或脑电图机和它的有关的附件决定。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:rsidR="005F5BD0" w:rsidRDefault="0037541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设备和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系统中的液体泼洒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201.11.6.3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替换：</w:t>
            </w:r>
          </w:p>
          <w:p w:rsidR="005F5BD0" w:rsidRDefault="0037541B">
            <w:r>
              <w:rPr>
                <w:rFonts w:hint="eastAsia"/>
              </w:rPr>
              <w:t>可携带的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可运输的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设备或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设备部件是可分离的并保持功能，结构应保证在液体泼洒（意外受潮）时，不会由进液导致危险状况。</w:t>
            </w:r>
          </w:p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设备应满足通用标准</w:t>
            </w:r>
            <w:r>
              <w:rPr>
                <w:rFonts w:hint="eastAsia"/>
              </w:rPr>
              <w:t>8.8.3</w:t>
            </w:r>
            <w:r>
              <w:rPr>
                <w:rFonts w:hint="eastAsia"/>
              </w:rPr>
              <w:t>电介质强度的要求且应符合本文件的要求。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  <w:vMerge w:val="restart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vMerge w:val="restart"/>
          </w:tcPr>
          <w:p w:rsidR="005F5BD0" w:rsidRDefault="0037541B"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设备的供电电源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供电网中断</w:t>
            </w:r>
          </w:p>
        </w:tc>
        <w:tc>
          <w:tcPr>
            <w:tcW w:w="720" w:type="dxa"/>
            <w:vMerge w:val="restart"/>
          </w:tcPr>
          <w:p w:rsidR="005F5BD0" w:rsidRDefault="0037541B">
            <w:r>
              <w:rPr>
                <w:rFonts w:hint="eastAsia"/>
              </w:rPr>
              <w:t>201.11.8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增补：</w:t>
            </w:r>
          </w:p>
          <w:p w:rsidR="005F5BD0" w:rsidRDefault="0037541B"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设备的供电网中断不超过</w:t>
            </w:r>
            <w:r>
              <w:rPr>
                <w:rFonts w:hint="eastAsia"/>
              </w:rPr>
              <w:t>30 s</w:t>
            </w:r>
            <w:r>
              <w:rPr>
                <w:rFonts w:hint="eastAsia"/>
              </w:rPr>
              <w:t>，操作者的设置不应改变，包括运行模式和所有存储的患者数据应保持可用。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设备有内部</w:t>
            </w:r>
            <w:proofErr w:type="gramStart"/>
            <w:r>
              <w:rPr>
                <w:rFonts w:hint="eastAsia"/>
              </w:rPr>
              <w:t>电源且供电网</w:t>
            </w:r>
            <w:proofErr w:type="gramEnd"/>
            <w:r>
              <w:rPr>
                <w:rFonts w:hint="eastAsia"/>
              </w:rPr>
              <w:t>中断，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设备应自动切换为内部电源供电来继续正常的运行，并且运行模式、所有的操作者设置和存储数据不应改变。可采用省电措施以使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设备继续符合本文件。</w:t>
            </w:r>
          </w:p>
          <w:p w:rsidR="005F5BD0" w:rsidRDefault="0037541B"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设备运行于内部电源供电状态时，应有视觉指示。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信号的重建准确度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201.12.1.101.1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幅度范围为±</w:t>
            </w:r>
            <w:r>
              <w:rPr>
                <w:rFonts w:hint="eastAsia"/>
              </w:rPr>
              <w:t>0.5 mV</w:t>
            </w:r>
            <w:r>
              <w:rPr>
                <w:rFonts w:hint="eastAsia"/>
              </w:rPr>
              <w:t>，变化率为</w:t>
            </w:r>
            <w:r>
              <w:rPr>
                <w:rFonts w:hint="eastAsia"/>
              </w:rPr>
              <w:t>12 mV/s</w:t>
            </w:r>
            <w:r>
              <w:rPr>
                <w:rFonts w:hint="eastAsia"/>
              </w:rPr>
              <w:t>的输入信号，重建在输出端的误差应≤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20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标称值或±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，取较大者。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输入动态范围</w:t>
            </w:r>
            <w:proofErr w:type="gramStart"/>
            <w:r>
              <w:rPr>
                <w:rFonts w:hint="eastAsia"/>
              </w:rPr>
              <w:t>和差模偏置</w:t>
            </w:r>
            <w:proofErr w:type="gramEnd"/>
            <w:r>
              <w:rPr>
                <w:rFonts w:hint="eastAsia"/>
              </w:rPr>
              <w:t>电压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201.12.1.101.2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叠加范围为±</w:t>
            </w:r>
            <w:r>
              <w:rPr>
                <w:rFonts w:hint="eastAsia"/>
              </w:rPr>
              <w:t>300 mV</w:t>
            </w:r>
            <w:r>
              <w:rPr>
                <w:rFonts w:hint="eastAsia"/>
              </w:rPr>
              <w:t>的直流偏置电压，同时输入电压为±</w:t>
            </w:r>
            <w:r>
              <w:rPr>
                <w:rFonts w:hint="eastAsia"/>
              </w:rPr>
              <w:t>0.5 mV</w:t>
            </w:r>
            <w:r>
              <w:rPr>
                <w:rFonts w:hint="eastAsia"/>
              </w:rPr>
              <w:t>，变化率为</w:t>
            </w:r>
            <w:r>
              <w:rPr>
                <w:rFonts w:hint="eastAsia"/>
              </w:rPr>
              <w:t>12 mV/s</w:t>
            </w:r>
            <w:proofErr w:type="gramStart"/>
            <w:r>
              <w:rPr>
                <w:rFonts w:hint="eastAsia"/>
              </w:rPr>
              <w:t>的差模信号</w:t>
            </w:r>
            <w:proofErr w:type="gramEnd"/>
            <w:r>
              <w:rPr>
                <w:rFonts w:hint="eastAsia"/>
              </w:rPr>
              <w:t>，当连接任何导联线的时候，在指定的直流偏置电压范围内，其随时间变化的输出信号振幅不应大于±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:rsidR="005F5BD0" w:rsidRDefault="0037541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输入噪声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201.12.1.101.3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折合到输入端由</w:t>
            </w:r>
            <w:r>
              <w:rPr>
                <w:rFonts w:hint="eastAsia"/>
              </w:rPr>
              <w:t>EEG</w:t>
            </w:r>
            <w:r>
              <w:rPr>
                <w:rFonts w:hint="eastAsia"/>
              </w:rPr>
              <w:t>运放和患者电缆引起的信号噪声不应超过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峰谷值（</w:t>
            </w:r>
            <w:r>
              <w:rPr>
                <w:rFonts w:hint="eastAsia"/>
              </w:rPr>
              <w:t>RTI</w:t>
            </w:r>
            <w:r>
              <w:rPr>
                <w:rFonts w:hint="eastAsia"/>
              </w:rPr>
              <w:t>）。</w:t>
            </w:r>
          </w:p>
          <w:p w:rsidR="005F5BD0" w:rsidRDefault="0037541B">
            <w:pPr>
              <w:ind w:firstLineChars="1000" w:firstLine="2100"/>
            </w:pPr>
            <w:r>
              <w:rPr>
                <w:rFonts w:hint="eastAsia"/>
              </w:rPr>
              <w:t>单位：μ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峰谷值（</w:t>
            </w:r>
            <w:r>
              <w:rPr>
                <w:rFonts w:hint="eastAsia"/>
              </w:rPr>
              <w:t>RTI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720"/>
          <w:jc w:val="center"/>
        </w:trPr>
        <w:tc>
          <w:tcPr>
            <w:tcW w:w="540" w:type="dxa"/>
            <w:vMerge w:val="restart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  <w:vMerge w:val="restart"/>
          </w:tcPr>
          <w:p w:rsidR="005F5BD0" w:rsidRDefault="0037541B">
            <w:r>
              <w:rPr>
                <w:rFonts w:hint="eastAsia"/>
              </w:rPr>
              <w:t>频率响应</w:t>
            </w:r>
          </w:p>
        </w:tc>
        <w:tc>
          <w:tcPr>
            <w:tcW w:w="720" w:type="dxa"/>
            <w:vMerge w:val="restart"/>
          </w:tcPr>
          <w:p w:rsidR="005F5BD0" w:rsidRDefault="0037541B">
            <w:r>
              <w:rPr>
                <w:rFonts w:hint="eastAsia"/>
              </w:rPr>
              <w:t>201.12.1.101.4</w:t>
            </w:r>
          </w:p>
        </w:tc>
        <w:tc>
          <w:tcPr>
            <w:tcW w:w="3506" w:type="dxa"/>
            <w:vMerge w:val="restart"/>
          </w:tcPr>
          <w:p w:rsidR="005F5BD0" w:rsidRDefault="0037541B">
            <w:r>
              <w:rPr>
                <w:rFonts w:hint="eastAsia"/>
              </w:rPr>
              <w:t>当试验加载正弦波信号的时候，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设备至少应满足</w:t>
            </w:r>
            <w:r>
              <w:rPr>
                <w:rFonts w:hint="eastAsia"/>
              </w:rPr>
              <w:t>0.5 Hz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50 Hz</w:t>
            </w:r>
            <w:r>
              <w:rPr>
                <w:rFonts w:hint="eastAsia"/>
              </w:rPr>
              <w:t>的频率响应（带宽）的要求。</w:t>
            </w:r>
            <w:r>
              <w:rPr>
                <w:rFonts w:hint="eastAsia"/>
              </w:rPr>
              <w:t>0.5 Hz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50 Hz</w:t>
            </w:r>
            <w:r>
              <w:rPr>
                <w:rFonts w:hint="eastAsia"/>
              </w:rPr>
              <w:t>的输出应为输入</w:t>
            </w:r>
            <w:r>
              <w:rPr>
                <w:rFonts w:hint="eastAsia"/>
              </w:rPr>
              <w:t>5 Hz</w:t>
            </w:r>
            <w:r>
              <w:rPr>
                <w:rFonts w:hint="eastAsia"/>
              </w:rPr>
              <w:t>正弦波信号获得的输出的</w:t>
            </w:r>
            <w:r>
              <w:rPr>
                <w:rFonts w:hint="eastAsia"/>
              </w:rPr>
              <w:t>71 %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110 %</w:t>
            </w:r>
            <w:r>
              <w:rPr>
                <w:rFonts w:hint="eastAsia"/>
              </w:rPr>
              <w:t>。</w:t>
            </w:r>
          </w:p>
        </w:tc>
        <w:tc>
          <w:tcPr>
            <w:tcW w:w="994" w:type="dxa"/>
            <w:vAlign w:val="center"/>
          </w:tcPr>
          <w:p w:rsidR="005F5BD0" w:rsidRDefault="0037541B">
            <w:pPr>
              <w:jc w:val="center"/>
            </w:pPr>
            <w:r>
              <w:rPr>
                <w:rFonts w:hint="eastAsia"/>
              </w:rPr>
              <w:t>0.5Hz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831"/>
          <w:jc w:val="center"/>
        </w:trPr>
        <w:tc>
          <w:tcPr>
            <w:tcW w:w="540" w:type="dxa"/>
            <w:vMerge/>
          </w:tcPr>
          <w:p w:rsidR="005F5BD0" w:rsidRDefault="005F5BD0">
            <w:pPr>
              <w:ind w:right="-108"/>
            </w:pPr>
          </w:p>
        </w:tc>
        <w:tc>
          <w:tcPr>
            <w:tcW w:w="1080" w:type="dxa"/>
            <w:vMerge/>
          </w:tcPr>
          <w:p w:rsidR="005F5BD0" w:rsidRDefault="005F5BD0"/>
        </w:tc>
        <w:tc>
          <w:tcPr>
            <w:tcW w:w="720" w:type="dxa"/>
            <w:vMerge/>
          </w:tcPr>
          <w:p w:rsidR="005F5BD0" w:rsidRDefault="005F5BD0"/>
        </w:tc>
        <w:tc>
          <w:tcPr>
            <w:tcW w:w="3506" w:type="dxa"/>
            <w:vMerge/>
          </w:tcPr>
          <w:p w:rsidR="005F5BD0" w:rsidRDefault="005F5BD0"/>
        </w:tc>
        <w:tc>
          <w:tcPr>
            <w:tcW w:w="994" w:type="dxa"/>
            <w:vAlign w:val="center"/>
          </w:tcPr>
          <w:p w:rsidR="005F5BD0" w:rsidRDefault="0037541B">
            <w:pPr>
              <w:jc w:val="center"/>
            </w:pPr>
            <w:r>
              <w:rPr>
                <w:rFonts w:hint="eastAsia"/>
              </w:rPr>
              <w:t>50Hz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18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共模抑制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201.12.1.101.5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一个</w:t>
            </w:r>
            <w:r>
              <w:rPr>
                <w:rFonts w:hint="eastAsia"/>
              </w:rPr>
              <w:t xml:space="preserve">1 </w:t>
            </w:r>
            <w:proofErr w:type="spellStart"/>
            <w:r>
              <w:rPr>
                <w:rFonts w:hint="eastAsia"/>
              </w:rPr>
              <w:t>Vr.m.s</w:t>
            </w:r>
            <w:proofErr w:type="spellEnd"/>
            <w:r>
              <w:rPr>
                <w:rFonts w:hint="eastAsia"/>
              </w:rPr>
              <w:t>的工频信号</w:t>
            </w:r>
            <w:r>
              <w:rPr>
                <w:rFonts w:hint="eastAsia"/>
              </w:rPr>
              <w:t>(50 Hz/60 Hz)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200 pF</w:t>
            </w:r>
            <w:r>
              <w:rPr>
                <w:rFonts w:hint="eastAsia"/>
              </w:rPr>
              <w:t>的源电容连接在大地与所有连接在一起的导联线之间，不应产生峰谷值大于</w:t>
            </w:r>
            <w:r>
              <w:rPr>
                <w:rFonts w:hint="eastAsia"/>
              </w:rPr>
              <w:t>10 mm</w:t>
            </w:r>
            <w:r>
              <w:rPr>
                <w:rFonts w:hint="eastAsia"/>
              </w:rPr>
              <w:t>的输出信号（调整增益为</w:t>
            </w:r>
            <w:r>
              <w:rPr>
                <w:rFonts w:hint="eastAsia"/>
              </w:rPr>
              <w:t>0.1 mm/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，在</w:t>
            </w:r>
            <w:r>
              <w:rPr>
                <w:rFonts w:hint="eastAsia"/>
              </w:rPr>
              <w:t>60 s</w:t>
            </w:r>
            <w:r>
              <w:rPr>
                <w:rFonts w:hint="eastAsia"/>
              </w:rPr>
              <w:t>期间内）。将每一个电极串联一个阻容网络（一个</w:t>
            </w:r>
            <w:r>
              <w:rPr>
                <w:rFonts w:hint="eastAsia"/>
              </w:rPr>
              <w:t>51 k</w:t>
            </w:r>
            <w:r>
              <w:rPr>
                <w:rFonts w:hint="eastAsia"/>
              </w:rPr>
              <w:t>Ω的电阻和一个</w:t>
            </w:r>
            <w:r>
              <w:rPr>
                <w:rFonts w:hint="eastAsia"/>
              </w:rPr>
              <w:t xml:space="preserve">47 </w:t>
            </w:r>
            <w:proofErr w:type="spellStart"/>
            <w:r>
              <w:rPr>
                <w:rFonts w:hint="eastAsia"/>
              </w:rPr>
              <w:t>nF</w:t>
            </w:r>
            <w:proofErr w:type="spellEnd"/>
            <w:r>
              <w:rPr>
                <w:rFonts w:hint="eastAsia"/>
              </w:rPr>
              <w:t>的电容并联）。应使用制造商指定的患者电缆。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</w:rPr>
              <w:t>mm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19</w:t>
            </w:r>
          </w:p>
        </w:tc>
        <w:tc>
          <w:tcPr>
            <w:tcW w:w="1080" w:type="dxa"/>
          </w:tcPr>
          <w:p w:rsidR="005F5BD0" w:rsidRDefault="0037541B">
            <w:bookmarkStart w:id="3" w:name="_Toc513814801"/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设备和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系统的电磁兼容性</w:t>
            </w:r>
            <w:bookmarkEnd w:id="3"/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201.17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除下述内容外，通用标准中的第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章适用：</w:t>
            </w:r>
          </w:p>
          <w:p w:rsidR="005F5BD0" w:rsidRDefault="0037541B">
            <w:r>
              <w:rPr>
                <w:rFonts w:hint="eastAsia"/>
              </w:rPr>
              <w:t>增补</w:t>
            </w:r>
            <w:r>
              <w:rPr>
                <w:rFonts w:hint="eastAsia"/>
              </w:rPr>
              <w:t>:</w:t>
            </w:r>
          </w:p>
          <w:p w:rsidR="005F5BD0" w:rsidRDefault="0037541B">
            <w:r>
              <w:rPr>
                <w:rFonts w:hint="eastAsia"/>
              </w:rPr>
              <w:t>本专用标准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章适用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  <w:tr w:rsidR="005F5BD0">
        <w:trPr>
          <w:cantSplit/>
          <w:trHeight w:val="64"/>
          <w:jc w:val="center"/>
        </w:trPr>
        <w:tc>
          <w:tcPr>
            <w:tcW w:w="540" w:type="dxa"/>
          </w:tcPr>
          <w:p w:rsidR="005F5BD0" w:rsidRDefault="0037541B">
            <w:pPr>
              <w:ind w:right="-108"/>
            </w:pPr>
            <w:r>
              <w:rPr>
                <w:rFonts w:hint="eastAsia"/>
              </w:rPr>
              <w:t>20</w:t>
            </w:r>
          </w:p>
        </w:tc>
        <w:tc>
          <w:tcPr>
            <w:tcW w:w="1080" w:type="dxa"/>
          </w:tcPr>
          <w:p w:rsidR="005F5BD0" w:rsidRDefault="0037541B">
            <w:r>
              <w:rPr>
                <w:rFonts w:hint="eastAsia"/>
              </w:rPr>
              <w:t>电磁兼容性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要求和试验</w:t>
            </w:r>
          </w:p>
        </w:tc>
        <w:tc>
          <w:tcPr>
            <w:tcW w:w="720" w:type="dxa"/>
          </w:tcPr>
          <w:p w:rsidR="005F5BD0" w:rsidRDefault="0037541B">
            <w:r>
              <w:rPr>
                <w:rFonts w:hint="eastAsia"/>
              </w:rPr>
              <w:t>202</w:t>
            </w:r>
          </w:p>
        </w:tc>
        <w:tc>
          <w:tcPr>
            <w:tcW w:w="4500" w:type="dxa"/>
            <w:gridSpan w:val="2"/>
          </w:tcPr>
          <w:p w:rsidR="005F5BD0" w:rsidRDefault="0037541B">
            <w:r>
              <w:rPr>
                <w:rFonts w:hint="eastAsia"/>
              </w:rPr>
              <w:t>除以下内容外，</w:t>
            </w:r>
            <w:r>
              <w:rPr>
                <w:rFonts w:hint="eastAsia"/>
              </w:rPr>
              <w:t>YY 9706.102-2021</w:t>
            </w:r>
            <w:r>
              <w:rPr>
                <w:rFonts w:hint="eastAsia"/>
              </w:rPr>
              <w:t>适用。</w:t>
            </w: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5F5BD0" w:rsidRDefault="005F5BD0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F5BD0" w:rsidRDefault="005F5BD0">
            <w:pPr>
              <w:jc w:val="center"/>
            </w:pPr>
          </w:p>
        </w:tc>
      </w:tr>
    </w:tbl>
    <w:p w:rsidR="005F5BD0" w:rsidRDefault="005F5BD0">
      <w:bookmarkStart w:id="4" w:name="_GoBack"/>
      <w:bookmarkEnd w:id="4"/>
    </w:p>
    <w:sectPr w:rsidR="005F5BD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1B" w:rsidRDefault="0037541B">
      <w:r>
        <w:separator/>
      </w:r>
    </w:p>
  </w:endnote>
  <w:endnote w:type="continuationSeparator" w:id="0">
    <w:p w:rsidR="0037541B" w:rsidRDefault="0037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1B" w:rsidRDefault="0037541B">
      <w:r>
        <w:separator/>
      </w:r>
    </w:p>
  </w:footnote>
  <w:footnote w:type="continuationSeparator" w:id="0">
    <w:p w:rsidR="0037541B" w:rsidRDefault="0037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D0" w:rsidRDefault="0037541B">
    <w:pPr>
      <w:jc w:val="center"/>
      <w:rPr>
        <w:rFonts w:ascii="宋体"/>
        <w:spacing w:val="200"/>
        <w:sz w:val="30"/>
        <w:szCs w:val="30"/>
      </w:rPr>
    </w:pPr>
    <w:r>
      <w:rPr>
        <w:rFonts w:ascii="宋体" w:hAnsi="宋体" w:hint="eastAsia"/>
        <w:b/>
        <w:sz w:val="36"/>
        <w:szCs w:val="36"/>
      </w:rPr>
      <w:t>GB</w:t>
    </w:r>
    <w:r>
      <w:rPr>
        <w:rFonts w:ascii="宋体" w:hAnsi="宋体"/>
        <w:b/>
        <w:sz w:val="36"/>
        <w:szCs w:val="36"/>
      </w:rPr>
      <w:t xml:space="preserve"> 9706.2</w:t>
    </w:r>
    <w:r>
      <w:rPr>
        <w:rFonts w:ascii="宋体" w:hAnsi="宋体" w:hint="eastAsia"/>
        <w:b/>
        <w:sz w:val="36"/>
        <w:szCs w:val="36"/>
      </w:rPr>
      <w:t>26</w:t>
    </w:r>
    <w:r>
      <w:rPr>
        <w:rFonts w:ascii="宋体" w:hAnsi="宋体"/>
        <w:b/>
        <w:sz w:val="36"/>
        <w:szCs w:val="36"/>
      </w:rPr>
      <w:t>-202</w:t>
    </w:r>
    <w:r>
      <w:rPr>
        <w:rFonts w:ascii="宋体" w:hAnsi="宋体" w:hint="eastAsia"/>
        <w:b/>
        <w:sz w:val="36"/>
        <w:szCs w:val="36"/>
      </w:rPr>
      <w:t>1</w:t>
    </w:r>
    <w:r>
      <w:rPr>
        <w:rFonts w:ascii="宋体" w:hAnsi="宋体" w:hint="eastAsia"/>
        <w:b/>
        <w:sz w:val="36"/>
        <w:szCs w:val="36"/>
      </w:rPr>
      <w:t>检验报告内容模板</w:t>
    </w:r>
  </w:p>
  <w:p w:rsidR="00996150" w:rsidRDefault="00996150">
    <w:pPr>
      <w:jc w:val="right"/>
      <w:rPr>
        <w:rFonts w:ascii="宋体" w:hAnsi="宋体" w:cs="宋体" w:hint="eastAsia"/>
        <w:b/>
        <w:bCs/>
        <w:sz w:val="44"/>
        <w:szCs w:val="44"/>
      </w:rPr>
    </w:pPr>
  </w:p>
  <w:p w:rsidR="005F5BD0" w:rsidRDefault="0037541B">
    <w:pPr>
      <w:jc w:val="right"/>
      <w:rPr>
        <w:rFonts w:ascii="仿宋_GB2312" w:eastAsia="仿宋_GB2312"/>
      </w:rPr>
    </w:pPr>
    <w:r>
      <w:rPr>
        <w:rFonts w:hAnsi="宋体" w:cs="宋体" w:hint="eastAsia"/>
      </w:rPr>
      <w:t>共</w:t>
    </w:r>
    <w:r>
      <w:rPr>
        <w:rFonts w:hAnsi="宋体"/>
      </w:rPr>
      <w:fldChar w:fldCharType="begin"/>
    </w:r>
    <w:r>
      <w:rPr>
        <w:rFonts w:hAnsi="宋体"/>
      </w:rPr>
      <w:instrText xml:space="preserve"> =</w:instrText>
    </w:r>
    <w:r>
      <w:rPr>
        <w:rFonts w:hAnsi="宋体"/>
      </w:rPr>
      <w:fldChar w:fldCharType="begin"/>
    </w:r>
    <w:r>
      <w:rPr>
        <w:rFonts w:hAnsi="宋体"/>
      </w:rPr>
      <w:instrText xml:space="preserve"> numpages </w:instrText>
    </w:r>
    <w:r>
      <w:rPr>
        <w:rFonts w:hAnsi="宋体"/>
      </w:rPr>
      <w:fldChar w:fldCharType="separate"/>
    </w:r>
    <w:r w:rsidR="00996150">
      <w:rPr>
        <w:rFonts w:hAnsi="宋体"/>
        <w:noProof/>
      </w:rPr>
      <w:instrText>5</w:instrText>
    </w:r>
    <w:r>
      <w:rPr>
        <w:rFonts w:hAnsi="宋体"/>
      </w:rPr>
      <w:fldChar w:fldCharType="end"/>
    </w:r>
    <w:r>
      <w:rPr>
        <w:rFonts w:hAnsi="宋体"/>
      </w:rPr>
      <w:instrText xml:space="preserve">-1 </w:instrText>
    </w:r>
    <w:r>
      <w:rPr>
        <w:rFonts w:hAnsi="宋体"/>
      </w:rPr>
      <w:fldChar w:fldCharType="separate"/>
    </w:r>
    <w:r w:rsidR="00996150">
      <w:rPr>
        <w:rFonts w:hAnsi="宋体"/>
        <w:noProof/>
      </w:rPr>
      <w:t>4</w:t>
    </w:r>
    <w:r>
      <w:rPr>
        <w:rFonts w:hAnsi="宋体"/>
      </w:rPr>
      <w:fldChar w:fldCharType="end"/>
    </w:r>
    <w:r>
      <w:rPr>
        <w:rFonts w:hAnsi="宋体" w:cs="宋体" w:hint="eastAsia"/>
      </w:rPr>
      <w:t>页</w:t>
    </w:r>
    <w:r>
      <w:rPr>
        <w:rFonts w:hAnsi="宋体" w:cs="宋体" w:hint="eastAsia"/>
      </w:rPr>
      <w:t xml:space="preserve"> </w:t>
    </w:r>
    <w:r>
      <w:rPr>
        <w:rFonts w:hAnsi="宋体" w:cs="宋体" w:hint="eastAsia"/>
      </w:rPr>
      <w:t>第</w:t>
    </w:r>
    <w:r>
      <w:rPr>
        <w:rFonts w:hAnsi="宋体"/>
      </w:rPr>
      <w:fldChar w:fldCharType="begin"/>
    </w:r>
    <w:r>
      <w:rPr>
        <w:rFonts w:hAnsi="宋体"/>
      </w:rPr>
      <w:instrText xml:space="preserve"> =</w:instrText>
    </w:r>
    <w:r>
      <w:rPr>
        <w:rFonts w:hAnsi="宋体"/>
      </w:rPr>
      <w:fldChar w:fldCharType="begin"/>
    </w:r>
    <w:r>
      <w:rPr>
        <w:rFonts w:hAnsi="宋体"/>
      </w:rPr>
      <w:instrText xml:space="preserve"> page </w:instrText>
    </w:r>
    <w:r>
      <w:rPr>
        <w:rFonts w:hAnsi="宋体"/>
      </w:rPr>
      <w:fldChar w:fldCharType="separate"/>
    </w:r>
    <w:r w:rsidR="00996150">
      <w:rPr>
        <w:rFonts w:hAnsi="宋体"/>
        <w:noProof/>
      </w:rPr>
      <w:instrText>5</w:instrText>
    </w:r>
    <w:r>
      <w:rPr>
        <w:rFonts w:hAnsi="宋体"/>
      </w:rPr>
      <w:fldChar w:fldCharType="end"/>
    </w:r>
    <w:r>
      <w:rPr>
        <w:rFonts w:hAnsi="宋体"/>
      </w:rPr>
      <w:instrText xml:space="preserve">-0 </w:instrText>
    </w:r>
    <w:r>
      <w:rPr>
        <w:rFonts w:hAnsi="宋体"/>
      </w:rPr>
      <w:fldChar w:fldCharType="separate"/>
    </w:r>
    <w:r w:rsidR="00996150">
      <w:rPr>
        <w:rFonts w:hAnsi="宋体"/>
        <w:noProof/>
      </w:rPr>
      <w:t>5</w:t>
    </w:r>
    <w:r>
      <w:rPr>
        <w:rFonts w:hAnsi="宋体"/>
      </w:rPr>
      <w:fldChar w:fldCharType="end"/>
    </w:r>
    <w:r>
      <w:rPr>
        <w:rFonts w:hAnsi="宋体" w:cs="宋体" w:hint="eastAsia"/>
      </w:rPr>
      <w:t>页</w:t>
    </w:r>
  </w:p>
  <w:tbl>
    <w:tblPr>
      <w:tblpPr w:leftFromText="181" w:rightFromText="181" w:vertAnchor="page" w:tblpXSpec="center" w:tblpY="224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0"/>
      <w:gridCol w:w="1080"/>
      <w:gridCol w:w="720"/>
      <w:gridCol w:w="4500"/>
      <w:gridCol w:w="1080"/>
      <w:gridCol w:w="1080"/>
      <w:gridCol w:w="871"/>
    </w:tblGrid>
    <w:tr w:rsidR="005F5BD0">
      <w:trPr>
        <w:trHeight w:hRule="exact" w:val="57"/>
        <w:tblHeader/>
      </w:trPr>
      <w:tc>
        <w:tcPr>
          <w:tcW w:w="540" w:type="dxa"/>
          <w:tcBorders>
            <w:top w:val="nil"/>
            <w:left w:val="nil"/>
            <w:right w:val="nil"/>
          </w:tcBorders>
          <w:vAlign w:val="center"/>
        </w:tcPr>
        <w:p w:rsidR="005F5BD0" w:rsidRDefault="005F5BD0">
          <w:pPr>
            <w:jc w:val="center"/>
            <w:rPr>
              <w:rFonts w:ascii="仿宋_GB2312" w:eastAsia="仿宋_GB2312" w:hAnsi="宋体"/>
            </w:rPr>
          </w:pP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center"/>
        </w:tcPr>
        <w:p w:rsidR="005F5BD0" w:rsidRDefault="005F5BD0">
          <w:pPr>
            <w:jc w:val="center"/>
            <w:rPr>
              <w:rFonts w:ascii="仿宋_GB2312" w:eastAsia="仿宋_GB2312" w:hAnsi="宋体"/>
            </w:rPr>
          </w:pPr>
        </w:p>
      </w:tc>
      <w:tc>
        <w:tcPr>
          <w:tcW w:w="720" w:type="dxa"/>
          <w:tcBorders>
            <w:top w:val="nil"/>
            <w:left w:val="nil"/>
            <w:right w:val="nil"/>
          </w:tcBorders>
          <w:vAlign w:val="center"/>
        </w:tcPr>
        <w:p w:rsidR="005F5BD0" w:rsidRDefault="005F5BD0">
          <w:pPr>
            <w:jc w:val="center"/>
            <w:rPr>
              <w:rFonts w:ascii="仿宋_GB2312" w:eastAsia="仿宋_GB2312" w:hAnsi="宋体"/>
            </w:rPr>
          </w:pPr>
        </w:p>
      </w:tc>
      <w:tc>
        <w:tcPr>
          <w:tcW w:w="4500" w:type="dxa"/>
          <w:tcBorders>
            <w:top w:val="nil"/>
            <w:left w:val="nil"/>
            <w:right w:val="nil"/>
          </w:tcBorders>
          <w:vAlign w:val="center"/>
        </w:tcPr>
        <w:p w:rsidR="005F5BD0" w:rsidRDefault="005F5BD0">
          <w:pPr>
            <w:jc w:val="center"/>
            <w:rPr>
              <w:rFonts w:ascii="仿宋_GB2312" w:eastAsia="仿宋_GB2312" w:hAnsi="宋体"/>
            </w:rPr>
          </w:pP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center"/>
        </w:tcPr>
        <w:p w:rsidR="005F5BD0" w:rsidRDefault="005F5BD0">
          <w:pPr>
            <w:jc w:val="center"/>
            <w:rPr>
              <w:rFonts w:ascii="仿宋_GB2312" w:eastAsia="仿宋_GB2312" w:hAnsi="宋体"/>
            </w:rPr>
          </w:pP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center"/>
        </w:tcPr>
        <w:p w:rsidR="005F5BD0" w:rsidRDefault="005F5BD0">
          <w:pPr>
            <w:jc w:val="center"/>
            <w:rPr>
              <w:rFonts w:ascii="仿宋_GB2312" w:eastAsia="仿宋_GB2312" w:hAnsi="宋体"/>
            </w:rPr>
          </w:pPr>
        </w:p>
      </w:tc>
      <w:tc>
        <w:tcPr>
          <w:tcW w:w="871" w:type="dxa"/>
          <w:tcBorders>
            <w:top w:val="nil"/>
            <w:left w:val="nil"/>
            <w:right w:val="nil"/>
          </w:tcBorders>
          <w:vAlign w:val="center"/>
        </w:tcPr>
        <w:p w:rsidR="005F5BD0" w:rsidRDefault="005F5BD0">
          <w:pPr>
            <w:jc w:val="center"/>
            <w:rPr>
              <w:rFonts w:ascii="仿宋_GB2312" w:eastAsia="仿宋_GB2312" w:hAnsi="宋体"/>
            </w:rPr>
          </w:pPr>
        </w:p>
      </w:tc>
    </w:tr>
    <w:tr w:rsidR="005F5BD0">
      <w:trPr>
        <w:trHeight w:val="446"/>
        <w:tblHeader/>
      </w:trPr>
      <w:tc>
        <w:tcPr>
          <w:tcW w:w="540" w:type="dxa"/>
          <w:tcBorders>
            <w:bottom w:val="nil"/>
          </w:tcBorders>
          <w:vAlign w:val="center"/>
        </w:tcPr>
        <w:p w:rsidR="005F5BD0" w:rsidRDefault="0037541B">
          <w:pPr>
            <w:jc w:val="center"/>
            <w:rPr>
              <w:rFonts w:ascii="仿宋" w:eastAsia="仿宋" w:hAnsi="仿宋"/>
            </w:rPr>
          </w:pPr>
          <w:r>
            <w:rPr>
              <w:rFonts w:ascii="仿宋" w:eastAsia="仿宋" w:hAnsi="仿宋" w:cs="仿宋_GB2312" w:hint="eastAsia"/>
            </w:rPr>
            <w:t>序号</w:t>
          </w:r>
        </w:p>
      </w:tc>
      <w:tc>
        <w:tcPr>
          <w:tcW w:w="1080" w:type="dxa"/>
          <w:tcBorders>
            <w:bottom w:val="nil"/>
          </w:tcBorders>
          <w:vAlign w:val="center"/>
        </w:tcPr>
        <w:p w:rsidR="005F5BD0" w:rsidRDefault="0037541B">
          <w:pPr>
            <w:jc w:val="center"/>
            <w:rPr>
              <w:rFonts w:ascii="仿宋" w:eastAsia="仿宋" w:hAnsi="仿宋"/>
            </w:rPr>
          </w:pPr>
          <w:r>
            <w:rPr>
              <w:rFonts w:ascii="仿宋" w:eastAsia="仿宋" w:hAnsi="仿宋" w:cs="仿宋_GB2312" w:hint="eastAsia"/>
            </w:rPr>
            <w:t>检验</w:t>
          </w:r>
        </w:p>
        <w:p w:rsidR="005F5BD0" w:rsidRDefault="0037541B">
          <w:pPr>
            <w:jc w:val="center"/>
            <w:rPr>
              <w:rFonts w:ascii="仿宋" w:eastAsia="仿宋" w:hAnsi="仿宋"/>
            </w:rPr>
          </w:pPr>
          <w:r>
            <w:rPr>
              <w:rFonts w:ascii="仿宋" w:eastAsia="仿宋" w:hAnsi="仿宋" w:cs="仿宋_GB2312" w:hint="eastAsia"/>
            </w:rPr>
            <w:t>项目</w:t>
          </w:r>
        </w:p>
      </w:tc>
      <w:tc>
        <w:tcPr>
          <w:tcW w:w="720" w:type="dxa"/>
          <w:tcBorders>
            <w:bottom w:val="nil"/>
          </w:tcBorders>
          <w:vAlign w:val="center"/>
        </w:tcPr>
        <w:p w:rsidR="005F5BD0" w:rsidRDefault="0037541B">
          <w:pPr>
            <w:jc w:val="center"/>
            <w:rPr>
              <w:rFonts w:ascii="仿宋" w:eastAsia="仿宋" w:hAnsi="仿宋"/>
            </w:rPr>
          </w:pPr>
          <w:r>
            <w:rPr>
              <w:rFonts w:ascii="仿宋" w:eastAsia="仿宋" w:hAnsi="仿宋" w:cs="仿宋_GB2312" w:hint="eastAsia"/>
            </w:rPr>
            <w:t>标准条款</w:t>
          </w:r>
        </w:p>
      </w:tc>
      <w:tc>
        <w:tcPr>
          <w:tcW w:w="4500" w:type="dxa"/>
          <w:tcBorders>
            <w:bottom w:val="nil"/>
          </w:tcBorders>
          <w:vAlign w:val="center"/>
        </w:tcPr>
        <w:p w:rsidR="005F5BD0" w:rsidRDefault="0037541B">
          <w:pPr>
            <w:jc w:val="center"/>
            <w:rPr>
              <w:rFonts w:ascii="仿宋" w:eastAsia="仿宋" w:hAnsi="仿宋"/>
            </w:rPr>
          </w:pPr>
          <w:r>
            <w:rPr>
              <w:rFonts w:ascii="仿宋" w:eastAsia="仿宋" w:hAnsi="仿宋" w:cs="仿宋_GB2312" w:hint="eastAsia"/>
            </w:rPr>
            <w:t>标准要求</w:t>
          </w:r>
          <w:r>
            <w:rPr>
              <w:rFonts w:ascii="仿宋" w:eastAsia="仿宋" w:hAnsi="仿宋" w:cs="仿宋_GB2312" w:hint="eastAsia"/>
            </w:rPr>
            <w:t>(</w:t>
          </w:r>
          <w:r>
            <w:rPr>
              <w:rFonts w:ascii="仿宋" w:eastAsia="仿宋" w:hAnsi="仿宋" w:cs="仿宋_GB2312" w:hint="eastAsia"/>
            </w:rPr>
            <w:t>GB 9706.226-2021</w:t>
          </w:r>
          <w:r>
            <w:rPr>
              <w:rFonts w:ascii="仿宋" w:eastAsia="仿宋" w:hAnsi="仿宋" w:cs="仿宋_GB2312" w:hint="eastAsia"/>
            </w:rPr>
            <w:t>)</w:t>
          </w:r>
        </w:p>
      </w:tc>
      <w:tc>
        <w:tcPr>
          <w:tcW w:w="1080" w:type="dxa"/>
          <w:tcBorders>
            <w:bottom w:val="nil"/>
          </w:tcBorders>
          <w:vAlign w:val="center"/>
        </w:tcPr>
        <w:p w:rsidR="005F5BD0" w:rsidRDefault="0037541B">
          <w:pPr>
            <w:jc w:val="center"/>
            <w:rPr>
              <w:rFonts w:ascii="仿宋" w:eastAsia="仿宋" w:hAnsi="仿宋"/>
            </w:rPr>
          </w:pPr>
          <w:r>
            <w:rPr>
              <w:rFonts w:ascii="仿宋" w:eastAsia="仿宋" w:hAnsi="仿宋" w:cs="仿宋_GB2312" w:hint="eastAsia"/>
            </w:rPr>
            <w:t>检验结果</w:t>
          </w:r>
        </w:p>
      </w:tc>
      <w:tc>
        <w:tcPr>
          <w:tcW w:w="1080" w:type="dxa"/>
          <w:tcBorders>
            <w:bottom w:val="nil"/>
          </w:tcBorders>
          <w:vAlign w:val="center"/>
        </w:tcPr>
        <w:p w:rsidR="005F5BD0" w:rsidRDefault="0037541B">
          <w:pPr>
            <w:jc w:val="center"/>
            <w:rPr>
              <w:rFonts w:ascii="仿宋" w:eastAsia="仿宋" w:hAnsi="仿宋"/>
            </w:rPr>
          </w:pPr>
          <w:r>
            <w:rPr>
              <w:rFonts w:ascii="仿宋" w:eastAsia="仿宋" w:hAnsi="仿宋" w:cs="仿宋_GB2312" w:hint="eastAsia"/>
            </w:rPr>
            <w:t>单项</w:t>
          </w:r>
        </w:p>
        <w:p w:rsidR="005F5BD0" w:rsidRDefault="0037541B">
          <w:pPr>
            <w:jc w:val="center"/>
            <w:rPr>
              <w:rFonts w:ascii="仿宋" w:eastAsia="仿宋" w:hAnsi="仿宋"/>
            </w:rPr>
          </w:pPr>
          <w:r>
            <w:rPr>
              <w:rFonts w:ascii="仿宋" w:eastAsia="仿宋" w:hAnsi="仿宋" w:cs="仿宋_GB2312" w:hint="eastAsia"/>
            </w:rPr>
            <w:t>结论</w:t>
          </w:r>
        </w:p>
      </w:tc>
      <w:tc>
        <w:tcPr>
          <w:tcW w:w="871" w:type="dxa"/>
          <w:tcBorders>
            <w:bottom w:val="nil"/>
          </w:tcBorders>
          <w:vAlign w:val="center"/>
        </w:tcPr>
        <w:p w:rsidR="005F5BD0" w:rsidRDefault="0037541B">
          <w:pPr>
            <w:jc w:val="center"/>
            <w:rPr>
              <w:rFonts w:ascii="仿宋" w:eastAsia="仿宋" w:hAnsi="仿宋"/>
            </w:rPr>
          </w:pPr>
          <w:r>
            <w:rPr>
              <w:rFonts w:ascii="仿宋" w:eastAsia="仿宋" w:hAnsi="仿宋" w:cs="仿宋_GB2312" w:hint="eastAsia"/>
            </w:rPr>
            <w:t>备注</w:t>
          </w:r>
        </w:p>
      </w:tc>
    </w:tr>
  </w:tbl>
  <w:p w:rsidR="005F5BD0" w:rsidRDefault="005F5B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60FA"/>
    <w:multiLevelType w:val="multilevel"/>
    <w:tmpl w:val="646260FA"/>
    <w:lvl w:ilvl="0">
      <w:start w:val="101"/>
      <w:numFmt w:val="decimal"/>
      <w:lvlText w:val="表 201.%1"/>
      <w:lvlJc w:val="left"/>
      <w:pPr>
        <w:ind w:left="0" w:firstLine="0"/>
      </w:pPr>
      <w:rPr>
        <w:rFonts w:hint="eastAsia"/>
        <w:b w:val="0"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7D9F7FA3"/>
    <w:multiLevelType w:val="multilevel"/>
    <w:tmpl w:val="7D9F7FA3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B824A95"/>
    <w:rsid w:val="0037541B"/>
    <w:rsid w:val="005F5BD0"/>
    <w:rsid w:val="00996150"/>
    <w:rsid w:val="03700555"/>
    <w:rsid w:val="0B824A95"/>
    <w:rsid w:val="59267ED2"/>
    <w:rsid w:val="76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正文表标题"/>
    <w:next w:val="a6"/>
    <w:qFormat/>
    <w:pPr>
      <w:numPr>
        <w:numId w:val="1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正文表标题"/>
    <w:next w:val="a6"/>
    <w:qFormat/>
    <w:pPr>
      <w:numPr>
        <w:numId w:val="1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张君</dc:creator>
  <cp:lastModifiedBy>Dell</cp:lastModifiedBy>
  <cp:revision>2</cp:revision>
  <dcterms:created xsi:type="dcterms:W3CDTF">2023-03-20T07:11:00Z</dcterms:created>
  <dcterms:modified xsi:type="dcterms:W3CDTF">2023-04-13T04:01:00Z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FE6C61B21001428EA9F1CAB5E7BFF71A</vt:lpwstr>
  </property>
</Properties>
</file>