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7791" w:rsidRDefault="00EF6AA5">
      <w:pPr>
        <w:spacing w:line="560" w:lineRule="exact"/>
        <w:rPr>
          <w:rFonts w:ascii="黑体" w:eastAsia="黑体" w:hAnsi="黑体" w:cs="黑体"/>
          <w:sz w:val="32"/>
          <w:szCs w:val="32"/>
        </w:rPr>
      </w:pPr>
      <w:r>
        <w:rPr>
          <w:rFonts w:ascii="黑体" w:eastAsia="黑体" w:hAnsi="黑体" w:cs="黑体" w:hint="eastAsia"/>
          <w:sz w:val="32"/>
          <w:szCs w:val="32"/>
        </w:rPr>
        <w:t>附件1</w:t>
      </w:r>
    </w:p>
    <w:p w:rsidR="000C7791" w:rsidRDefault="000C7791">
      <w:pPr>
        <w:spacing w:line="560" w:lineRule="exact"/>
        <w:rPr>
          <w:rFonts w:ascii="黑体" w:eastAsia="黑体" w:hAnsi="黑体" w:cs="黑体"/>
          <w:sz w:val="32"/>
          <w:szCs w:val="32"/>
        </w:rPr>
      </w:pPr>
    </w:p>
    <w:p w:rsidR="000C7791" w:rsidRDefault="00EF6AA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2022年医疗器械强制性行业标准制修订计划项目</w:t>
      </w:r>
    </w:p>
    <w:p w:rsidR="000C7791" w:rsidRDefault="000C7791">
      <w:pPr>
        <w:spacing w:line="560" w:lineRule="exact"/>
        <w:jc w:val="center"/>
        <w:rPr>
          <w:rFonts w:ascii="方正小标宋简体" w:eastAsia="方正小标宋简体" w:hAnsi="方正小标宋简体" w:cs="方正小标宋简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3661"/>
        <w:gridCol w:w="1203"/>
        <w:gridCol w:w="1207"/>
        <w:gridCol w:w="2978"/>
        <w:gridCol w:w="2804"/>
        <w:gridCol w:w="1842"/>
      </w:tblGrid>
      <w:tr w:rsidR="000C7791">
        <w:trPr>
          <w:cantSplit/>
          <w:trHeight w:val="315"/>
          <w:tblHeader/>
          <w:jc w:val="center"/>
        </w:trPr>
        <w:tc>
          <w:tcPr>
            <w:tcW w:w="699" w:type="dxa"/>
            <w:vMerge w:val="restart"/>
            <w:tcMar>
              <w:top w:w="28" w:type="dxa"/>
              <w:left w:w="57" w:type="dxa"/>
              <w:bottom w:w="28" w:type="dxa"/>
              <w:right w:w="57" w:type="dxa"/>
            </w:tcMar>
            <w:vAlign w:val="center"/>
          </w:tcPr>
          <w:p w:rsidR="000C7791"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序号</w:t>
            </w:r>
          </w:p>
        </w:tc>
        <w:tc>
          <w:tcPr>
            <w:tcW w:w="3661" w:type="dxa"/>
            <w:vMerge w:val="restart"/>
            <w:tcMar>
              <w:top w:w="28" w:type="dxa"/>
              <w:left w:w="57" w:type="dxa"/>
              <w:bottom w:w="28" w:type="dxa"/>
              <w:right w:w="57" w:type="dxa"/>
            </w:tcMar>
            <w:vAlign w:val="center"/>
          </w:tcPr>
          <w:p w:rsidR="000C7791"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项目名称</w:t>
            </w:r>
          </w:p>
        </w:tc>
        <w:tc>
          <w:tcPr>
            <w:tcW w:w="1203" w:type="dxa"/>
            <w:vMerge w:val="restart"/>
            <w:tcMar>
              <w:top w:w="28" w:type="dxa"/>
              <w:left w:w="57" w:type="dxa"/>
              <w:bottom w:w="28" w:type="dxa"/>
              <w:right w:w="57" w:type="dxa"/>
            </w:tcMar>
            <w:vAlign w:val="center"/>
          </w:tcPr>
          <w:p w:rsidR="000C7791"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标准性质建议</w:t>
            </w:r>
          </w:p>
        </w:tc>
        <w:tc>
          <w:tcPr>
            <w:tcW w:w="1207" w:type="dxa"/>
            <w:vMerge w:val="restart"/>
            <w:tcMar>
              <w:top w:w="28" w:type="dxa"/>
              <w:left w:w="57" w:type="dxa"/>
              <w:bottom w:w="28" w:type="dxa"/>
              <w:right w:w="57" w:type="dxa"/>
            </w:tcMar>
            <w:vAlign w:val="center"/>
          </w:tcPr>
          <w:p w:rsidR="000C7791"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制修订</w:t>
            </w:r>
          </w:p>
        </w:tc>
        <w:tc>
          <w:tcPr>
            <w:tcW w:w="2978" w:type="dxa"/>
            <w:vMerge w:val="restart"/>
            <w:tcMar>
              <w:top w:w="28" w:type="dxa"/>
              <w:left w:w="57" w:type="dxa"/>
              <w:bottom w:w="28" w:type="dxa"/>
              <w:right w:w="57" w:type="dxa"/>
            </w:tcMar>
            <w:vAlign w:val="center"/>
          </w:tcPr>
          <w:p w:rsidR="000C7791"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归口单位</w:t>
            </w:r>
          </w:p>
        </w:tc>
        <w:tc>
          <w:tcPr>
            <w:tcW w:w="2804" w:type="dxa"/>
            <w:vMerge w:val="restart"/>
            <w:tcMar>
              <w:top w:w="28" w:type="dxa"/>
              <w:left w:w="57" w:type="dxa"/>
              <w:bottom w:w="28" w:type="dxa"/>
              <w:right w:w="57" w:type="dxa"/>
            </w:tcMar>
            <w:vAlign w:val="center"/>
          </w:tcPr>
          <w:p w:rsidR="000C7791"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项目承担单位</w:t>
            </w:r>
          </w:p>
        </w:tc>
        <w:tc>
          <w:tcPr>
            <w:tcW w:w="1842" w:type="dxa"/>
            <w:vMerge w:val="restart"/>
            <w:tcMar>
              <w:top w:w="28" w:type="dxa"/>
              <w:left w:w="57" w:type="dxa"/>
              <w:bottom w:w="28" w:type="dxa"/>
              <w:right w:w="57" w:type="dxa"/>
            </w:tcMar>
            <w:vAlign w:val="center"/>
          </w:tcPr>
          <w:p w:rsidR="000C7791"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项目号</w:t>
            </w:r>
          </w:p>
        </w:tc>
      </w:tr>
      <w:tr w:rsidR="000C7791">
        <w:trPr>
          <w:cantSplit/>
          <w:trHeight w:val="315"/>
          <w:jc w:val="center"/>
        </w:trPr>
        <w:tc>
          <w:tcPr>
            <w:tcW w:w="699" w:type="dxa"/>
            <w:vMerge/>
            <w:tcMar>
              <w:top w:w="28" w:type="dxa"/>
              <w:left w:w="57" w:type="dxa"/>
              <w:bottom w:w="28" w:type="dxa"/>
              <w:right w:w="57" w:type="dxa"/>
            </w:tcMar>
            <w:vAlign w:val="center"/>
          </w:tcPr>
          <w:p w:rsidR="000C7791" w:rsidRDefault="000C7791">
            <w:pPr>
              <w:widowControl/>
              <w:jc w:val="left"/>
              <w:rPr>
                <w:rFonts w:ascii="Times New Roman" w:eastAsia="黑体" w:hAnsi="Times New Roman"/>
                <w:color w:val="000000"/>
                <w:kern w:val="0"/>
                <w:sz w:val="24"/>
              </w:rPr>
            </w:pPr>
          </w:p>
        </w:tc>
        <w:tc>
          <w:tcPr>
            <w:tcW w:w="3661" w:type="dxa"/>
            <w:vMerge/>
            <w:tcMar>
              <w:top w:w="28" w:type="dxa"/>
              <w:left w:w="57" w:type="dxa"/>
              <w:bottom w:w="28" w:type="dxa"/>
              <w:right w:w="57" w:type="dxa"/>
            </w:tcMar>
            <w:vAlign w:val="center"/>
          </w:tcPr>
          <w:p w:rsidR="000C7791" w:rsidRDefault="000C7791">
            <w:pPr>
              <w:widowControl/>
              <w:jc w:val="left"/>
              <w:rPr>
                <w:rFonts w:ascii="Times New Roman" w:eastAsia="黑体" w:hAnsi="Times New Roman"/>
                <w:color w:val="000000"/>
                <w:kern w:val="0"/>
                <w:sz w:val="24"/>
              </w:rPr>
            </w:pPr>
          </w:p>
        </w:tc>
        <w:tc>
          <w:tcPr>
            <w:tcW w:w="1203" w:type="dxa"/>
            <w:vMerge/>
            <w:tcMar>
              <w:top w:w="28" w:type="dxa"/>
              <w:left w:w="57" w:type="dxa"/>
              <w:bottom w:w="28" w:type="dxa"/>
              <w:right w:w="57" w:type="dxa"/>
            </w:tcMar>
            <w:vAlign w:val="center"/>
          </w:tcPr>
          <w:p w:rsidR="000C7791" w:rsidRDefault="000C7791">
            <w:pPr>
              <w:widowControl/>
              <w:jc w:val="left"/>
              <w:rPr>
                <w:rFonts w:ascii="Times New Roman" w:eastAsia="黑体" w:hAnsi="Times New Roman"/>
                <w:color w:val="000000"/>
                <w:kern w:val="0"/>
                <w:sz w:val="24"/>
              </w:rPr>
            </w:pPr>
          </w:p>
        </w:tc>
        <w:tc>
          <w:tcPr>
            <w:tcW w:w="1207" w:type="dxa"/>
            <w:vMerge/>
            <w:tcMar>
              <w:top w:w="28" w:type="dxa"/>
              <w:left w:w="57" w:type="dxa"/>
              <w:bottom w:w="28" w:type="dxa"/>
              <w:right w:w="57" w:type="dxa"/>
            </w:tcMar>
            <w:vAlign w:val="center"/>
          </w:tcPr>
          <w:p w:rsidR="000C7791" w:rsidRDefault="000C7791">
            <w:pPr>
              <w:widowControl/>
              <w:jc w:val="left"/>
              <w:rPr>
                <w:rFonts w:ascii="Times New Roman" w:eastAsia="黑体" w:hAnsi="Times New Roman"/>
                <w:color w:val="000000"/>
                <w:kern w:val="0"/>
                <w:sz w:val="24"/>
              </w:rPr>
            </w:pPr>
          </w:p>
        </w:tc>
        <w:tc>
          <w:tcPr>
            <w:tcW w:w="2978" w:type="dxa"/>
            <w:vMerge/>
            <w:tcMar>
              <w:top w:w="28" w:type="dxa"/>
              <w:left w:w="57" w:type="dxa"/>
              <w:bottom w:w="28" w:type="dxa"/>
              <w:right w:w="57" w:type="dxa"/>
            </w:tcMar>
            <w:vAlign w:val="center"/>
          </w:tcPr>
          <w:p w:rsidR="000C7791" w:rsidRDefault="000C7791">
            <w:pPr>
              <w:widowControl/>
              <w:jc w:val="left"/>
              <w:rPr>
                <w:rFonts w:ascii="Times New Roman" w:eastAsia="黑体" w:hAnsi="Times New Roman"/>
                <w:color w:val="000000"/>
                <w:kern w:val="0"/>
                <w:sz w:val="24"/>
              </w:rPr>
            </w:pPr>
          </w:p>
        </w:tc>
        <w:tc>
          <w:tcPr>
            <w:tcW w:w="2804" w:type="dxa"/>
            <w:vMerge/>
            <w:tcMar>
              <w:top w:w="28" w:type="dxa"/>
              <w:left w:w="57" w:type="dxa"/>
              <w:bottom w:w="28" w:type="dxa"/>
              <w:right w:w="57" w:type="dxa"/>
            </w:tcMar>
            <w:vAlign w:val="center"/>
          </w:tcPr>
          <w:p w:rsidR="000C7791" w:rsidRDefault="000C7791">
            <w:pPr>
              <w:widowControl/>
              <w:jc w:val="left"/>
              <w:rPr>
                <w:rFonts w:ascii="Times New Roman" w:eastAsia="黑体" w:hAnsi="Times New Roman"/>
                <w:color w:val="000000"/>
                <w:kern w:val="0"/>
                <w:sz w:val="24"/>
              </w:rPr>
            </w:pPr>
          </w:p>
        </w:tc>
        <w:tc>
          <w:tcPr>
            <w:tcW w:w="1842" w:type="dxa"/>
            <w:vMerge/>
            <w:tcMar>
              <w:top w:w="28" w:type="dxa"/>
              <w:left w:w="57" w:type="dxa"/>
              <w:bottom w:w="28" w:type="dxa"/>
              <w:right w:w="57" w:type="dxa"/>
            </w:tcMar>
            <w:vAlign w:val="center"/>
          </w:tcPr>
          <w:p w:rsidR="000C7791" w:rsidRDefault="000C7791">
            <w:pPr>
              <w:widowControl/>
              <w:jc w:val="left"/>
              <w:rPr>
                <w:rFonts w:ascii="Times New Roman" w:eastAsia="黑体" w:hAnsi="Times New Roman"/>
                <w:color w:val="000000"/>
                <w:kern w:val="0"/>
                <w:sz w:val="24"/>
              </w:rPr>
            </w:pP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外科植入物</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骨关节假体锻、铸件</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2</w:t>
            </w:r>
            <w:r>
              <w:rPr>
                <w:rFonts w:ascii="Times New Roman" w:eastAsia="仿宋_GB2312" w:hAnsi="Times New Roman"/>
                <w:color w:val="000000"/>
                <w:kern w:val="0"/>
                <w:sz w:val="24"/>
              </w:rPr>
              <w:t>部分：</w:t>
            </w:r>
            <w:r>
              <w:rPr>
                <w:rFonts w:ascii="Times New Roman" w:eastAsia="仿宋_GB2312" w:hAnsi="Times New Roman"/>
                <w:color w:val="000000"/>
                <w:kern w:val="0"/>
                <w:sz w:val="24"/>
              </w:rPr>
              <w:t>ZTi6Al4V</w:t>
            </w:r>
            <w:r>
              <w:rPr>
                <w:rFonts w:ascii="Times New Roman" w:eastAsia="仿宋_GB2312" w:hAnsi="Times New Roman"/>
                <w:color w:val="000000"/>
                <w:kern w:val="0"/>
                <w:sz w:val="24"/>
              </w:rPr>
              <w:t>钛合金铸件</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天津市医疗器械质量监督检验中心</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N2022002-Q-tj</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2</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外科植入物</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丙烯酸类树脂骨水泥</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bookmarkStart w:id="0" w:name="_GoBack"/>
            <w:bookmarkEnd w:id="0"/>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天津市医疗器械质量监督检验中心</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N2022003-Q-tj</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3</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压力输液装置用一次性</w:t>
            </w:r>
            <w:proofErr w:type="gramStart"/>
            <w:r>
              <w:rPr>
                <w:rFonts w:ascii="Times New Roman" w:eastAsia="仿宋_GB2312" w:hAnsi="Times New Roman"/>
                <w:color w:val="000000"/>
                <w:kern w:val="0"/>
                <w:sz w:val="24"/>
              </w:rPr>
              <w:t>使用液路及其</w:t>
            </w:r>
            <w:proofErr w:type="gramEnd"/>
            <w:r>
              <w:rPr>
                <w:rFonts w:ascii="Times New Roman" w:eastAsia="仿宋_GB2312" w:hAnsi="Times New Roman"/>
                <w:color w:val="000000"/>
                <w:kern w:val="0"/>
                <w:sz w:val="24"/>
              </w:rPr>
              <w:t>附件</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4</w:t>
            </w:r>
            <w:r>
              <w:rPr>
                <w:rFonts w:ascii="Times New Roman" w:eastAsia="仿宋_GB2312" w:hAnsi="Times New Roman"/>
                <w:color w:val="000000"/>
                <w:kern w:val="0"/>
                <w:sz w:val="24"/>
              </w:rPr>
              <w:t>部分：防回流阀</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全国医用输液器具标准化技术委员会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山东省医疗器械和药品包装检验研究院</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N2022004-Q-jn</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4</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眼科光学</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眼</w:t>
            </w:r>
            <w:proofErr w:type="gramStart"/>
            <w:r>
              <w:rPr>
                <w:rFonts w:ascii="Times New Roman" w:eastAsia="仿宋_GB2312" w:hAnsi="Times New Roman"/>
                <w:color w:val="000000"/>
                <w:kern w:val="0"/>
                <w:sz w:val="24"/>
              </w:rPr>
              <w:t>用粘弹</w:t>
            </w:r>
            <w:proofErr w:type="gramEnd"/>
            <w:r>
              <w:rPr>
                <w:rFonts w:ascii="Times New Roman" w:eastAsia="仿宋_GB2312" w:hAnsi="Times New Roman"/>
                <w:color w:val="000000"/>
                <w:kern w:val="0"/>
                <w:sz w:val="24"/>
              </w:rPr>
              <w:t>剂</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全国医用光学和仪器标准化分技术委员会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浙江省医疗器械检验研究院</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N2022005-Q-hz</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5</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激光治疗设备</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准分子激光角膜屈光治疗机</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全国医用光学和仪器标准化分技术委员会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浙江省医疗器械检验研究院</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A2022006-Q-hz</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6</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血液净化体外循环系统</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血液透析器、血液透析滤过器、血液滤过器用体外循环血路</w:t>
            </w:r>
            <w:r>
              <w:rPr>
                <w:rFonts w:ascii="Times New Roman" w:eastAsia="仿宋_GB2312" w:hAnsi="Times New Roman"/>
                <w:color w:val="000000"/>
                <w:kern w:val="0"/>
                <w:sz w:val="24"/>
              </w:rPr>
              <w:t>/</w:t>
            </w:r>
            <w:proofErr w:type="gramStart"/>
            <w:r>
              <w:rPr>
                <w:rFonts w:ascii="Times New Roman" w:eastAsia="仿宋_GB2312" w:hAnsi="Times New Roman"/>
                <w:color w:val="000000"/>
                <w:kern w:val="0"/>
                <w:sz w:val="24"/>
              </w:rPr>
              <w:t>液路</w:t>
            </w:r>
            <w:proofErr w:type="gramEnd"/>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全国医用体外循环设备标准化技术委员会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N2022007-Q-gz</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7</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血液净化体外循环系统</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血液透析器、血液透析滤过器、血液滤过器和血液浓缩器</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全国医用体外循环设备标准化技术委员会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N2022008-Q-gz</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8</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外科器械</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直线型吻合器及组件</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全国外科器械标准化技术委员会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上海市医疗器械检验研究院</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N2022009-Q-sh</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lastRenderedPageBreak/>
              <w:t>9</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手术植入物有源植入医疗器械第</w:t>
            </w:r>
            <w:r>
              <w:rPr>
                <w:rFonts w:ascii="Times New Roman" w:eastAsia="仿宋_GB2312" w:hAnsi="Times New Roman"/>
                <w:color w:val="000000"/>
                <w:kern w:val="0"/>
                <w:sz w:val="24"/>
              </w:rPr>
              <w:t>6</w:t>
            </w:r>
            <w:r>
              <w:rPr>
                <w:rFonts w:ascii="Times New Roman" w:eastAsia="仿宋_GB2312" w:hAnsi="Times New Roman"/>
                <w:color w:val="000000"/>
                <w:kern w:val="0"/>
                <w:sz w:val="24"/>
              </w:rPr>
              <w:t>部分：治疗快速性心律失常的有源植入医疗器械（包括植入式除颤器）的</w:t>
            </w:r>
            <w:proofErr w:type="gramStart"/>
            <w:r>
              <w:rPr>
                <w:rFonts w:ascii="Times New Roman" w:eastAsia="仿宋_GB2312" w:hAnsi="Times New Roman"/>
                <w:color w:val="000000"/>
                <w:kern w:val="0"/>
                <w:sz w:val="24"/>
              </w:rPr>
              <w:t>专用要求</w:t>
            </w:r>
            <w:proofErr w:type="gramEnd"/>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全国外科植入物和矫形器械标准化技术委员会有源植入物分技术委员会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上海市医疗器械检验研究院</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A2022010-Q-sh</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10</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等离子喷涂羟基磷灰石涂层</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钛基牙种植体</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全国口腔材料和器械设备标准化技术委员会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北京大学口腔医学院口腔医疗器械检验中心</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N2022011-Q-bd</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11</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牙科学</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根管封闭材料</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全国口腔材料和器械设备标准化技术委员会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北京大学口腔医学院口腔医疗器械检验中心</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N2022012-Q-bd</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12</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心肺转流系统</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心脏手术硬壳贮血器、静脉贮血器系统（带或不带过滤器）和静脉贮</w:t>
            </w:r>
            <w:proofErr w:type="gramStart"/>
            <w:r>
              <w:rPr>
                <w:rFonts w:ascii="Times New Roman" w:eastAsia="仿宋_GB2312" w:hAnsi="Times New Roman"/>
                <w:color w:val="000000"/>
                <w:kern w:val="0"/>
                <w:sz w:val="24"/>
              </w:rPr>
              <w:t>血软袋</w:t>
            </w:r>
            <w:proofErr w:type="gramEnd"/>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全国医用体外循环设备标准化技术委员会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N2022013-Q-gz</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13</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手术植入物</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有源植入式医疗器械</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7</w:t>
            </w:r>
            <w:r>
              <w:rPr>
                <w:rFonts w:ascii="Times New Roman" w:eastAsia="仿宋_GB2312" w:hAnsi="Times New Roman"/>
                <w:color w:val="000000"/>
                <w:kern w:val="0"/>
                <w:sz w:val="24"/>
              </w:rPr>
              <w:t>部分：人工耳蜗和听觉脑干植入系统的</w:t>
            </w:r>
            <w:proofErr w:type="gramStart"/>
            <w:r>
              <w:rPr>
                <w:rFonts w:ascii="Times New Roman" w:eastAsia="仿宋_GB2312" w:hAnsi="Times New Roman"/>
                <w:color w:val="000000"/>
                <w:kern w:val="0"/>
                <w:sz w:val="24"/>
              </w:rPr>
              <w:t>专用要求</w:t>
            </w:r>
            <w:proofErr w:type="gramEnd"/>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全国外科植入物和矫形器械标准化技术委员会有源植入物分技术委员会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上海市医疗器械检验研究院</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A2022014-Q-sh</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14</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全玻璃注射器</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全国医用注射器（针）标准化技术委员会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上海市医疗器械检验研究院</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N2022015-Q-sh</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15</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热辐射</w:t>
            </w:r>
            <w:proofErr w:type="gramStart"/>
            <w:r>
              <w:rPr>
                <w:rFonts w:ascii="Times New Roman" w:eastAsia="仿宋_GB2312" w:hAnsi="Times New Roman"/>
                <w:color w:val="000000"/>
                <w:kern w:val="0"/>
                <w:sz w:val="24"/>
              </w:rPr>
              <w:t>类治疗</w:t>
            </w:r>
            <w:proofErr w:type="gramEnd"/>
            <w:r>
              <w:rPr>
                <w:rFonts w:ascii="Times New Roman" w:eastAsia="仿宋_GB2312" w:hAnsi="Times New Roman"/>
                <w:color w:val="000000"/>
                <w:kern w:val="0"/>
                <w:sz w:val="24"/>
              </w:rPr>
              <w:t>设备通用技术要求</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全国医用电器标准化技术委员会物理治疗设备分技术委员会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天津市医疗器械质量监督检验中心</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A2022016-Q-tj</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16</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外科植入物</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骨关节假体锻、铸件</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3</w:t>
            </w:r>
            <w:r>
              <w:rPr>
                <w:rFonts w:ascii="Times New Roman" w:eastAsia="仿宋_GB2312" w:hAnsi="Times New Roman"/>
                <w:color w:val="000000"/>
                <w:kern w:val="0"/>
                <w:sz w:val="24"/>
              </w:rPr>
              <w:t>部分：钴铬钼合金铸件</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天津市医疗器械质量监督检验中心</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N2022017-Q-tj</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17</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外科植入物</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骨关节假体锻、铸件</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1</w:t>
            </w:r>
            <w:r>
              <w:rPr>
                <w:rFonts w:ascii="Times New Roman" w:eastAsia="仿宋_GB2312" w:hAnsi="Times New Roman"/>
                <w:color w:val="000000"/>
                <w:kern w:val="0"/>
                <w:sz w:val="24"/>
              </w:rPr>
              <w:t>部分</w:t>
            </w:r>
            <w:r>
              <w:rPr>
                <w:rFonts w:ascii="Times New Roman" w:eastAsia="仿宋_GB2312" w:hAnsi="Times New Roman"/>
                <w:color w:val="000000"/>
                <w:kern w:val="0"/>
                <w:sz w:val="24"/>
              </w:rPr>
              <w:t>: Ti6Al4V</w:t>
            </w:r>
            <w:r>
              <w:rPr>
                <w:rFonts w:ascii="Times New Roman" w:eastAsia="仿宋_GB2312" w:hAnsi="Times New Roman"/>
                <w:color w:val="000000"/>
                <w:kern w:val="0"/>
                <w:sz w:val="24"/>
              </w:rPr>
              <w:t>钛合金锻件</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天津市医疗器械质量监督检验中心</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N2022018-Q-tj</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18</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一次性使用便携式输注泵</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非电驱动</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全国医用输液器具标准化技术委员会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山东省医疗器械和药品包装检验研究院</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N2022019-Q-jn</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19</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一次性使用无菌手术膜</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全国医用卫生材料及敷料标准化技术归口单位</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山东省医疗器械和药品包装检验研究院</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N2022020-Q-jn</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lastRenderedPageBreak/>
              <w:t>20</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血液透析和相关治疗用液体的制备和质量管理</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2</w:t>
            </w:r>
            <w:r>
              <w:rPr>
                <w:rFonts w:ascii="Times New Roman" w:eastAsia="仿宋_GB2312" w:hAnsi="Times New Roman"/>
                <w:color w:val="000000"/>
                <w:kern w:val="0"/>
                <w:sz w:val="24"/>
              </w:rPr>
              <w:t>部分：血液透析和相关治疗用水</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全国医用体外循环设备标准化技术委员会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N2022021-Q-gz</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21</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压力蒸汽灭菌器</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生物安全性能要求</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全国消毒技术与设备标准化技术委员会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A2022022-Q-gz</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22</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环氧乙烷灭菌器</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全国消毒技术与设备标准化技术委员会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A2022023-Q-gz</w:t>
            </w:r>
          </w:p>
        </w:tc>
      </w:tr>
      <w:tr w:rsidR="000C7791">
        <w:trPr>
          <w:cantSplit/>
          <w:trHeight w:val="20"/>
          <w:jc w:val="center"/>
        </w:trPr>
        <w:tc>
          <w:tcPr>
            <w:tcW w:w="699" w:type="dxa"/>
            <w:tcMar>
              <w:top w:w="28" w:type="dxa"/>
              <w:left w:w="57" w:type="dxa"/>
              <w:bottom w:w="28" w:type="dxa"/>
              <w:right w:w="57" w:type="dxa"/>
            </w:tcMar>
            <w:vAlign w:val="center"/>
          </w:tcPr>
          <w:p w:rsidR="000C7791" w:rsidRDefault="00EF6AA5">
            <w:pPr>
              <w:widowControl/>
              <w:jc w:val="center"/>
              <w:rPr>
                <w:rFonts w:ascii="Times New Roman" w:hAnsi="Times New Roman"/>
                <w:color w:val="000000"/>
                <w:kern w:val="0"/>
                <w:sz w:val="24"/>
              </w:rPr>
            </w:pPr>
            <w:r>
              <w:rPr>
                <w:rFonts w:ascii="Times New Roman" w:hAnsi="Times New Roman"/>
                <w:color w:val="000000"/>
                <w:kern w:val="0"/>
                <w:sz w:val="24"/>
              </w:rPr>
              <w:t>23</w:t>
            </w:r>
          </w:p>
        </w:tc>
        <w:tc>
          <w:tcPr>
            <w:tcW w:w="3661"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牙科学</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聚合物基修复材料</w:t>
            </w:r>
          </w:p>
        </w:tc>
        <w:tc>
          <w:tcPr>
            <w:tcW w:w="1203"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全国口腔材料和器械设备标准化技术委员会</w:t>
            </w:r>
          </w:p>
        </w:tc>
        <w:tc>
          <w:tcPr>
            <w:tcW w:w="2804"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北京大学口腔医学院口腔医疗器械检验中心</w:t>
            </w:r>
          </w:p>
        </w:tc>
        <w:tc>
          <w:tcPr>
            <w:tcW w:w="1842" w:type="dxa"/>
            <w:tcMar>
              <w:top w:w="28" w:type="dxa"/>
              <w:left w:w="57" w:type="dxa"/>
              <w:bottom w:w="28" w:type="dxa"/>
              <w:right w:w="57" w:type="dxa"/>
            </w:tcMar>
            <w:vAlign w:val="center"/>
          </w:tcPr>
          <w:p w:rsidR="000C7791"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N2022024-Q-bd</w:t>
            </w:r>
          </w:p>
        </w:tc>
      </w:tr>
    </w:tbl>
    <w:p w:rsidR="00EF6AA5" w:rsidRDefault="00EF6AA5" w:rsidP="00502A2D">
      <w:pPr>
        <w:spacing w:line="500" w:lineRule="exact"/>
      </w:pPr>
    </w:p>
    <w:sectPr w:rsidR="00EF6AA5" w:rsidSect="00502A2D">
      <w:footerReference w:type="default" r:id="rId7"/>
      <w:pgSz w:w="16838" w:h="11906" w:orient="landscape"/>
      <w:pgMar w:top="1134" w:right="1134" w:bottom="1134" w:left="1134" w:header="851" w:footer="850"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443" w:rsidRDefault="00167443">
      <w:r>
        <w:separator/>
      </w:r>
    </w:p>
  </w:endnote>
  <w:endnote w:type="continuationSeparator" w:id="0">
    <w:p w:rsidR="00167443" w:rsidRDefault="0016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91" w:rsidRDefault="00502A2D">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9170" cy="230505"/>
              <wp:effectExtent l="1270" t="3810" r="635"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791" w:rsidRDefault="00EF6AA5">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C6E20">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9pt;margin-top:0;width:77.1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" filled="f" stroked="f">
              <v:textbox style="mso-fit-shape-to-text:t" inset="0,0,0,0">
                <w:txbxContent>
                  <w:p w:rsidR="000C7791" w:rsidRDefault="00EF6AA5">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C6E20">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443" w:rsidRDefault="00167443">
      <w:r>
        <w:separator/>
      </w:r>
    </w:p>
  </w:footnote>
  <w:footnote w:type="continuationSeparator" w:id="0">
    <w:p w:rsidR="00167443" w:rsidRDefault="00167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C6"/>
    <w:rsid w:val="000C7791"/>
    <w:rsid w:val="00167443"/>
    <w:rsid w:val="003C6E20"/>
    <w:rsid w:val="00502A2D"/>
    <w:rsid w:val="008E43C6"/>
    <w:rsid w:val="00C67F83"/>
    <w:rsid w:val="00EF6AA5"/>
    <w:rsid w:val="3EAB0813"/>
    <w:rsid w:val="79FF4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Financl</cp:lastModifiedBy>
  <cp:revision>3</cp:revision>
  <dcterms:created xsi:type="dcterms:W3CDTF">2022-04-28T07:04:00Z</dcterms:created>
  <dcterms:modified xsi:type="dcterms:W3CDTF">2022-04-28T12:38:00Z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